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C56840">
        <w:rPr>
          <w:color w:val="000000"/>
        </w:rPr>
        <w:t xml:space="preserve">pomieszczenie magazynowe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 xml:space="preserve">4. Oprócz czynszu Dzierżawca zobowiązany jest do uiszczania podatku od nieruchomości w wysokości zgodnej z deklaracją przedstawioną przez Urząd Miasta Siedlce. Podatek jest płatny we własnym zakresie w kasie Urzędu </w:t>
      </w:r>
      <w:r w:rsidR="00793F23">
        <w:t>……………………….</w:t>
      </w:r>
      <w:bookmarkStart w:id="0" w:name="_GoBack"/>
      <w:bookmarkEnd w:id="0"/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7034B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3</cp:revision>
  <cp:lastPrinted>2018-05-24T08:07:00Z</cp:lastPrinted>
  <dcterms:created xsi:type="dcterms:W3CDTF">2019-09-17T09:12:00Z</dcterms:created>
  <dcterms:modified xsi:type="dcterms:W3CDTF">2019-09-17T09:15:00Z</dcterms:modified>
</cp:coreProperties>
</file>