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E23D" w14:textId="77777777" w:rsidR="009625A9" w:rsidRPr="008D6726" w:rsidRDefault="009625A9" w:rsidP="009625A9">
      <w:pPr>
        <w:spacing w:line="288" w:lineRule="auto"/>
        <w:jc w:val="center"/>
        <w:rPr>
          <w:color w:val="FF0000"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Umowa dzierżawy nieruchomości nr</w:t>
      </w:r>
      <w:r w:rsidR="009E44A6">
        <w:rPr>
          <w:b/>
          <w:bCs/>
          <w:spacing w:val="-4"/>
          <w:sz w:val="23"/>
          <w:szCs w:val="23"/>
        </w:rPr>
        <w:t xml:space="preserve"> …./2021</w:t>
      </w:r>
    </w:p>
    <w:p w14:paraId="0C2BF922" w14:textId="77777777" w:rsidR="009625A9" w:rsidRPr="008D6726" w:rsidRDefault="009625A9" w:rsidP="009625A9">
      <w:pPr>
        <w:tabs>
          <w:tab w:val="left" w:leader="dot" w:pos="3691"/>
        </w:tabs>
        <w:spacing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znak sprawy: SA.2217.</w:t>
      </w:r>
      <w:r w:rsidR="009A74A5">
        <w:rPr>
          <w:spacing w:val="-4"/>
          <w:sz w:val="23"/>
          <w:szCs w:val="23"/>
        </w:rPr>
        <w:t>15</w:t>
      </w:r>
      <w:r w:rsidR="009E44A6">
        <w:rPr>
          <w:spacing w:val="-4"/>
          <w:sz w:val="23"/>
          <w:szCs w:val="23"/>
        </w:rPr>
        <w:t>.2021</w:t>
      </w:r>
    </w:p>
    <w:p w14:paraId="0E013EF5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rPr>
          <w:spacing w:val="-4"/>
          <w:sz w:val="23"/>
          <w:szCs w:val="23"/>
        </w:rPr>
      </w:pPr>
    </w:p>
    <w:p w14:paraId="60D8F9EB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W dniu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……………..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 w Konstancjewie pomiędzy:</w:t>
      </w:r>
    </w:p>
    <w:p w14:paraId="7EF8A00F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Skarbem Państwa – Państwowym Gospodarstwem Leśnym Lasy Państwowe - Nadleśnictwem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Golub-Dobrzyń,  Konstancjewo 3A, (poczta: 87-400 Golub-Dobrzyń), któremu nadano numery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NIP 878-000-63-69 i REGON 870530023 zwanym w dalszej treści umowy „Wydzierżawiającym”, reprezentowanym przez: </w:t>
      </w:r>
    </w:p>
    <w:p w14:paraId="23214AAC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Pana Roberta Paciorka – Nadleśniczego</w:t>
      </w:r>
    </w:p>
    <w:p w14:paraId="4F3A7FA0" w14:textId="77777777" w:rsidR="009625A9" w:rsidRPr="00796859" w:rsidRDefault="009625A9" w:rsidP="009625A9">
      <w:pPr>
        <w:tabs>
          <w:tab w:val="left" w:leader="dot" w:pos="2107"/>
          <w:tab w:val="left" w:leader="dot" w:pos="4834"/>
        </w:tabs>
        <w:spacing w:before="120" w:line="300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A Panem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, zamieszkałym w miejscowości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>
        <w:rPr>
          <w:rFonts w:ascii="Times New Roman" w:hAnsi="Times New Roman"/>
          <w:spacing w:val="-4"/>
          <w:sz w:val="23"/>
          <w:szCs w:val="23"/>
        </w:rPr>
        <w:t>,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posiadającym numer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zwanym w dalszej treści umowy „Dzierżawcą", zawarto umowę dzierżawy następującej treści:  </w:t>
      </w:r>
    </w:p>
    <w:p w14:paraId="123F007C" w14:textId="77777777" w:rsidR="009625A9" w:rsidRPr="008D6726" w:rsidRDefault="009625A9" w:rsidP="009625A9">
      <w:pPr>
        <w:spacing w:before="120" w:line="288" w:lineRule="auto"/>
        <w:ind w:left="57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</w:t>
      </w:r>
    </w:p>
    <w:p w14:paraId="160242FB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oświadcza, że nieruchomość będąca przedmiotem umowy stanowi własność Skarbu Państwa i pozostaje w zarządzie Państwowego Gospodarstwa Leśnego Lasy Państwowe – Nadleśnictwa Golub-Dobrzyń zgodnie z przepisami ustawy z dnia 28 września 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1991 r. o lasach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>(Dz. U. z 2020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r., poz. </w:t>
      </w:r>
      <w:r w:rsidR="009E44A6">
        <w:rPr>
          <w:rFonts w:ascii="Times New Roman" w:hAnsi="Times New Roman"/>
          <w:spacing w:val="-4"/>
          <w:sz w:val="23"/>
          <w:szCs w:val="23"/>
        </w:rPr>
        <w:t>1463</w:t>
      </w:r>
      <w:r w:rsidRPr="00CC062B">
        <w:rPr>
          <w:rFonts w:ascii="Times New Roman" w:hAnsi="Times New Roman"/>
          <w:spacing w:val="-4"/>
          <w:sz w:val="23"/>
          <w:szCs w:val="23"/>
        </w:rPr>
        <w:t>.) oraz na podstawie przepisu art. 35 ust. 1 pkt. 1 i 2a wyżej wymienionej ustawy upoważniony jest do reprezentowania Skarbu Państwa w zakresie stosunków cywilnoprawnych.</w:t>
      </w:r>
    </w:p>
    <w:p w14:paraId="6FD057EB" w14:textId="77777777" w:rsidR="009625A9" w:rsidRPr="00CC062B" w:rsidRDefault="009625A9" w:rsidP="0096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Obszar, na którym znajduje się nieruchomość będąca przedmiotem umowy, nie jest objęty    miejscowym planem zagospodarowania przestrzennego. </w:t>
      </w:r>
    </w:p>
    <w:p w14:paraId="26C9D02D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Zawarcie niniejszej umowy następuje za zgodą Dyrektora Regionalnej Dyrekcji Lasów Państwowych w Toruniu wyrażoną zgodnie z art.39 ustawy o lasach z d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nia 28.09.1991r.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 xml:space="preserve">(Dz. U. z 2020 r., poz. 1463 </w:t>
      </w:r>
      <w:r>
        <w:rPr>
          <w:rFonts w:ascii="Times New Roman" w:hAnsi="Times New Roman"/>
          <w:spacing w:val="-4"/>
          <w:sz w:val="23"/>
          <w:szCs w:val="23"/>
        </w:rPr>
        <w:t>.)  w piśmie znak spr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>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 xml:space="preserve">z dnia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 xml:space="preserve"> roku.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</w:p>
    <w:p w14:paraId="2744274A" w14:textId="77777777" w:rsidR="009625A9" w:rsidRPr="00D16F08" w:rsidRDefault="009625A9" w:rsidP="009625A9">
      <w:pPr>
        <w:tabs>
          <w:tab w:val="num" w:pos="284"/>
        </w:tabs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16F08">
        <w:rPr>
          <w:b/>
          <w:bCs/>
          <w:spacing w:val="-4"/>
          <w:sz w:val="23"/>
          <w:szCs w:val="23"/>
        </w:rPr>
        <w:t>§ 2</w:t>
      </w:r>
    </w:p>
    <w:p w14:paraId="7CA40CA8" w14:textId="77777777" w:rsidR="009625A9" w:rsidRDefault="009625A9" w:rsidP="009625A9">
      <w:pPr>
        <w:numPr>
          <w:ilvl w:val="0"/>
          <w:numId w:val="6"/>
        </w:numPr>
        <w:tabs>
          <w:tab w:val="num" w:pos="426"/>
        </w:tabs>
        <w:spacing w:before="120" w:after="0" w:line="288" w:lineRule="auto"/>
        <w:ind w:left="426" w:hanging="426"/>
        <w:rPr>
          <w:rFonts w:ascii="Times New Roman" w:hAnsi="Times New Roman"/>
          <w:spacing w:val="-4"/>
          <w:sz w:val="23"/>
          <w:szCs w:val="23"/>
        </w:rPr>
      </w:pPr>
      <w:bookmarkStart w:id="0" w:name="_Hlk534880160"/>
      <w:r w:rsidRPr="00CC062B">
        <w:rPr>
          <w:rFonts w:ascii="Times New Roman" w:hAnsi="Times New Roman"/>
          <w:spacing w:val="-4"/>
          <w:sz w:val="23"/>
          <w:szCs w:val="23"/>
        </w:rPr>
        <w:t>Wydzierżawiający oddaje, a Dzierżawca bierze w dzierżawę nieruchomość gruntową, zwaną dalej „przedmiotem dzierżawy”,</w:t>
      </w:r>
      <w:r w:rsidR="009A74A5">
        <w:rPr>
          <w:rFonts w:ascii="Times New Roman" w:hAnsi="Times New Roman"/>
          <w:spacing w:val="-4"/>
          <w:sz w:val="23"/>
          <w:szCs w:val="23"/>
        </w:rPr>
        <w:t xml:space="preserve"> o  powierzchni 6,8500</w:t>
      </w:r>
      <w:r>
        <w:rPr>
          <w:rFonts w:ascii="Times New Roman" w:hAnsi="Times New Roman"/>
          <w:spacing w:val="-4"/>
          <w:sz w:val="23"/>
          <w:szCs w:val="23"/>
        </w:rPr>
        <w:t xml:space="preserve"> ha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sklasyfikowaną w ewidencji gruntów i budynków jako</w:t>
      </w:r>
      <w:r>
        <w:rPr>
          <w:rFonts w:ascii="Times New Roman" w:hAnsi="Times New Roman"/>
          <w:spacing w:val="-4"/>
          <w:sz w:val="23"/>
          <w:szCs w:val="23"/>
        </w:rPr>
        <w:t>:</w:t>
      </w:r>
    </w:p>
    <w:bookmarkEnd w:id="0"/>
    <w:p w14:paraId="3C8693E0" w14:textId="7970E49D" w:rsidR="009A74A5" w:rsidRDefault="009A74A5" w:rsidP="009A74A5">
      <w:pPr>
        <w:spacing w:line="300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  <w:r w:rsidRPr="009A74A5">
        <w:rPr>
          <w:rFonts w:ascii="Times New Roman" w:hAnsi="Times New Roman"/>
          <w:spacing w:val="-4"/>
          <w:sz w:val="23"/>
          <w:szCs w:val="23"/>
        </w:rPr>
        <w:t>3043 pastwisko kl. VI a o łącznej powierzchni 6,8500 ha położonej w obrębie ewidencyjnym Trzcianek, gmina Ryńsk (obręb leśny Leśno, Leśnictwo Nielub oddz.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9A74A5">
        <w:rPr>
          <w:rFonts w:ascii="Times New Roman" w:hAnsi="Times New Roman"/>
          <w:spacing w:val="-4"/>
          <w:sz w:val="23"/>
          <w:szCs w:val="23"/>
        </w:rPr>
        <w:t xml:space="preserve">43 f dla których Sąd Rejonowy w Wąbrzeźnie prowadzi Księgę Wieczystą </w:t>
      </w:r>
      <w:r>
        <w:rPr>
          <w:rFonts w:ascii="Times New Roman" w:hAnsi="Times New Roman"/>
          <w:spacing w:val="-4"/>
          <w:sz w:val="23"/>
          <w:szCs w:val="23"/>
        </w:rPr>
        <w:t>TO1W/00030773/0).</w:t>
      </w:r>
    </w:p>
    <w:p w14:paraId="26C997F1" w14:textId="2D9ACE51" w:rsidR="00AC5376" w:rsidRPr="00AC5376" w:rsidRDefault="0089521E" w:rsidP="00AC5376">
      <w:pPr>
        <w:pStyle w:val="NormalnyWeb"/>
        <w:numPr>
          <w:ilvl w:val="0"/>
          <w:numId w:val="6"/>
        </w:numPr>
        <w:jc w:val="both"/>
        <w:rPr>
          <w:color w:val="FF0000"/>
        </w:rPr>
      </w:pPr>
      <w:r w:rsidRPr="00B41431">
        <w:rPr>
          <w:color w:val="FF0000"/>
          <w:sz w:val="23"/>
          <w:szCs w:val="23"/>
        </w:rPr>
        <w:t xml:space="preserve">Przedmiot dzierżawy znajduje się na Obszarze Chronionego Krajobrazu </w:t>
      </w:r>
      <w:bookmarkStart w:id="1" w:name="_GoBack"/>
      <w:r w:rsidRPr="00B41431">
        <w:rPr>
          <w:color w:val="FF0000"/>
          <w:sz w:val="23"/>
          <w:szCs w:val="23"/>
        </w:rPr>
        <w:t xml:space="preserve">Kompleksu Torfowiskowo </w:t>
      </w:r>
      <w:r w:rsidRPr="00AC5376">
        <w:rPr>
          <w:color w:val="FF0000"/>
          <w:sz w:val="23"/>
          <w:szCs w:val="23"/>
        </w:rPr>
        <w:t>– Jeziorno – Leśnego Zgniłka Wieczno –Wronie</w:t>
      </w:r>
      <w:r w:rsidR="00B41431" w:rsidRPr="00AC5376">
        <w:rPr>
          <w:color w:val="FF0000"/>
          <w:sz w:val="23"/>
          <w:szCs w:val="23"/>
        </w:rPr>
        <w:t xml:space="preserve">, ponadto w strefie okresowej ochrony </w:t>
      </w:r>
      <w:r w:rsidR="00AC5376" w:rsidRPr="00AC5376">
        <w:rPr>
          <w:color w:val="FF0000"/>
          <w:sz w:val="23"/>
          <w:szCs w:val="23"/>
        </w:rPr>
        <w:t>ostoi, miejsca</w:t>
      </w:r>
      <w:r w:rsidR="00B41431" w:rsidRPr="00AC5376">
        <w:rPr>
          <w:color w:val="FF0000"/>
          <w:sz w:val="23"/>
          <w:szCs w:val="23"/>
        </w:rPr>
        <w:t xml:space="preserve"> </w:t>
      </w:r>
      <w:r w:rsidR="00AC5376" w:rsidRPr="00AC5376">
        <w:rPr>
          <w:color w:val="FF0000"/>
          <w:sz w:val="23"/>
          <w:szCs w:val="23"/>
        </w:rPr>
        <w:t>rozrodu</w:t>
      </w:r>
      <w:r w:rsidR="00B41431" w:rsidRPr="00AC5376">
        <w:rPr>
          <w:color w:val="FF0000"/>
          <w:sz w:val="23"/>
          <w:szCs w:val="23"/>
        </w:rPr>
        <w:t xml:space="preserve"> i regularnego przebywania bielika</w:t>
      </w:r>
      <w:bookmarkEnd w:id="1"/>
      <w:r w:rsidR="00AC5376" w:rsidRPr="00AC5376">
        <w:rPr>
          <w:color w:val="FF0000"/>
        </w:rPr>
        <w:t xml:space="preserve"> w której zgodnie z art. 60 ust. 6 Ustawy z dnia 16 kwietnia 2004 r. o ochronie przyrody bez zezwolenia regionalnego dyrektora ochrony środowiska, zabrania się: </w:t>
      </w:r>
    </w:p>
    <w:p w14:paraId="2CACFC66" w14:textId="4FF2E991" w:rsidR="00AC5376" w:rsidRPr="00AC5376" w:rsidRDefault="00AC5376" w:rsidP="00AC5376">
      <w:pPr>
        <w:pStyle w:val="NormalnyWeb"/>
        <w:numPr>
          <w:ilvl w:val="0"/>
          <w:numId w:val="13"/>
        </w:numPr>
        <w:jc w:val="both"/>
        <w:rPr>
          <w:color w:val="FF0000"/>
        </w:rPr>
      </w:pPr>
      <w:r w:rsidRPr="00AC5376">
        <w:rPr>
          <w:color w:val="FF0000"/>
        </w:rPr>
        <w:lastRenderedPageBreak/>
        <w:t>przebywania osób, z wyjątkiem właściciela nieruchomości objętej strefą ochrony oraz osób sprawujących zarząd i nadzór nad obszarami objętymi strefą ochrony, oraz osób wykonujących prace na podstawie umowy zawartej z właścicielem lub zarządcą;</w:t>
      </w:r>
    </w:p>
    <w:p w14:paraId="035B8F6E" w14:textId="6187AE3F" w:rsidR="00AC5376" w:rsidRPr="00AC5376" w:rsidRDefault="00AC5376" w:rsidP="00AC5376">
      <w:pPr>
        <w:pStyle w:val="NormalnyWeb"/>
        <w:numPr>
          <w:ilvl w:val="0"/>
          <w:numId w:val="13"/>
        </w:numPr>
        <w:jc w:val="both"/>
        <w:rPr>
          <w:color w:val="FF0000"/>
        </w:rPr>
      </w:pPr>
      <w:r w:rsidRPr="00AC5376">
        <w:rPr>
          <w:color w:val="FF0000"/>
        </w:rPr>
        <w:t>wycinania drzew lub krzewów;</w:t>
      </w:r>
    </w:p>
    <w:p w14:paraId="6A9A0F2E" w14:textId="42C4440F" w:rsidR="00AC5376" w:rsidRPr="00AC5376" w:rsidRDefault="00AC5376" w:rsidP="00AC5376">
      <w:pPr>
        <w:pStyle w:val="NormalnyWeb"/>
        <w:numPr>
          <w:ilvl w:val="0"/>
          <w:numId w:val="13"/>
        </w:numPr>
        <w:jc w:val="both"/>
        <w:rPr>
          <w:color w:val="FF0000"/>
        </w:rPr>
      </w:pPr>
      <w:r w:rsidRPr="00AC5376">
        <w:rPr>
          <w:color w:val="FF0000"/>
        </w:rPr>
        <w:t>dokonywania zmian stosunków wodnych, jeżeli nie jest to związane z potrzebą ochrony poszczególnych gatunków;</w:t>
      </w:r>
    </w:p>
    <w:p w14:paraId="143B1E96" w14:textId="2511157F" w:rsidR="0089521E" w:rsidRPr="00AC5376" w:rsidRDefault="00AC5376" w:rsidP="00AC5376">
      <w:pPr>
        <w:pStyle w:val="NormalnyWeb"/>
        <w:numPr>
          <w:ilvl w:val="0"/>
          <w:numId w:val="13"/>
        </w:numPr>
        <w:jc w:val="both"/>
        <w:rPr>
          <w:color w:val="FF0000"/>
        </w:rPr>
      </w:pPr>
      <w:r w:rsidRPr="00AC5376">
        <w:rPr>
          <w:color w:val="FF0000"/>
        </w:rPr>
        <w:t>wznoszenia obiektów, urządzeń i instalacji.</w:t>
      </w:r>
    </w:p>
    <w:p w14:paraId="11E3C22F" w14:textId="2365928E" w:rsidR="009625A9" w:rsidRPr="00AC5376" w:rsidRDefault="009625A9" w:rsidP="00AC5376">
      <w:pPr>
        <w:pStyle w:val="Akapitzlist"/>
        <w:numPr>
          <w:ilvl w:val="0"/>
          <w:numId w:val="1"/>
        </w:numPr>
        <w:spacing w:line="300" w:lineRule="auto"/>
        <w:rPr>
          <w:spacing w:val="-4"/>
          <w:sz w:val="23"/>
          <w:szCs w:val="23"/>
        </w:rPr>
      </w:pPr>
      <w:r w:rsidRPr="00AC5376">
        <w:rPr>
          <w:spacing w:val="-4"/>
          <w:sz w:val="23"/>
          <w:szCs w:val="23"/>
        </w:rPr>
        <w:t xml:space="preserve">W przypadku stwierdzenia na przedmiocie dzierżawy występowania gatunków roślin chronionych wskazanych w rozporządzeniu Ministra Środowiska z dnia 9 października 2014 r. w sprawie ochrony gatunkowej roślin (Dz. U. z 2014 r., poz. 1409), Wydzierżawiający zaleca przyjęcie sposobu użytkowania, który nie doprowadzi do utraty stanowiska -  rośliny nie powinny ulec uszkodzeniu przed wydaniem nasion. </w:t>
      </w:r>
    </w:p>
    <w:p w14:paraId="699D3553" w14:textId="77777777" w:rsidR="009625A9" w:rsidRPr="00CC062B" w:rsidRDefault="009625A9" w:rsidP="009625A9">
      <w:pPr>
        <w:spacing w:before="120" w:line="300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3. </w:t>
      </w:r>
      <w:r w:rsidRPr="00CC062B">
        <w:rPr>
          <w:rFonts w:ascii="Times New Roman" w:hAnsi="Times New Roman"/>
          <w:spacing w:val="-4"/>
          <w:sz w:val="23"/>
          <w:szCs w:val="23"/>
        </w:rPr>
        <w:tab/>
        <w:t>W przypadku stwierdzenia lęgów ptasich należy opóźnić pokos do czasu zakończenia lęgów. Kosić łąkę należy od środka na zewnątrz – w sposób umożliwiający zamieszkującym ją zwierzętom ucieczkę.</w:t>
      </w:r>
    </w:p>
    <w:p w14:paraId="4F13B074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Szczegółową lokalizację przedmiotu dzierżawy zaznaczono na załączniku graficznym (mapa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skali 1:2500 opisująca nieruchomość i granice przedmiotu dzierżawy) stanowiącym załącznik nr 1 do niniejszej umowy.</w:t>
      </w:r>
    </w:p>
    <w:p w14:paraId="41654348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oświadcza, że zna miejsce położenia, granice, powierzchnię oraz stan gospodarczy przedmiotu dzierżawy i z tego tytułu nie będzie rościł pretensji do Wydzierżawiającego.</w:t>
      </w:r>
    </w:p>
    <w:p w14:paraId="64D305A2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przekaże Dzierżawcy przedmiot dzierżawy protokolarnie. Protokół, podpisany przez strony, stanowić będzie załącznik nr 2 do umowy.</w:t>
      </w:r>
    </w:p>
    <w:p w14:paraId="0E8C07F3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3</w:t>
      </w:r>
    </w:p>
    <w:p w14:paraId="2D199E90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wydzierżawia nieruchomość opisaną w § 2 ust. 1 wyłącznie w celu prowadzenia gospodarki rolnej bez możliwości lokalizacji jakichkolwiek naniesień na terenie przedmiotu dzierżawy.</w:t>
      </w:r>
    </w:p>
    <w:p w14:paraId="4AE4D760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uprawiać oddany mu do użytkowania przedmiot dzierżawy zgodnie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z zasadami gospodarki rolnej bez odłogowania.</w:t>
      </w:r>
    </w:p>
    <w:p w14:paraId="48274847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do udostępnienia Wydzierżawiającemu przedmiotu dzierżawy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każdym okresie w celu przeprowadzenia kontroli wykonywania niniejszej umowy.</w:t>
      </w:r>
    </w:p>
    <w:p w14:paraId="260CB3CC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4</w:t>
      </w:r>
    </w:p>
    <w:p w14:paraId="505A5115" w14:textId="77777777" w:rsidR="009625A9" w:rsidRPr="002D1CC0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2D1CC0">
        <w:rPr>
          <w:rFonts w:ascii="Times New Roman" w:hAnsi="Times New Roman"/>
          <w:spacing w:val="-4"/>
          <w:sz w:val="23"/>
          <w:szCs w:val="23"/>
        </w:rPr>
        <w:t>Wszelkie wypadki losowe mogące wpłynąć na zmniejszenie zbioru płodów rolnych, jak, np. susza, powódź, grad, pożar itp. obciążają wyłącznie Dzierżawcę, który z tego tytułu nie będzie rościł pretensji do Wydzierżawiającego, w tym do obniżenia czynszu.</w:t>
      </w:r>
    </w:p>
    <w:p w14:paraId="33E56068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5</w:t>
      </w:r>
    </w:p>
    <w:p w14:paraId="01B03E17" w14:textId="77777777" w:rsidR="009625A9" w:rsidRPr="00CC062B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opłacania wszelkich ewentualnych podatków dotyczących przedmiotu dzierżawy w Gminie, na terenie, której znajduje się przedmiot dzierżawy.</w:t>
      </w:r>
    </w:p>
    <w:p w14:paraId="614AB6B2" w14:textId="77777777" w:rsidR="009625A9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lastRenderedPageBreak/>
        <w:t>Jeżeli obowiązek składania deklaracji i zapłaty należnego podatku dotyczyłoby Wydzierżawiającego,  wówczas o kwotę zapłaconego podatku zostanie podniesiona kwota czynszu określona w § 7 ust. 1 niniejszej umowy.</w:t>
      </w:r>
    </w:p>
    <w:p w14:paraId="0A4FA94E" w14:textId="77777777" w:rsidR="009625A9" w:rsidRPr="00CC062B" w:rsidRDefault="009625A9" w:rsidP="009625A9">
      <w:pPr>
        <w:tabs>
          <w:tab w:val="num" w:pos="426"/>
        </w:tabs>
        <w:spacing w:before="120" w:after="0" w:line="288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</w:p>
    <w:p w14:paraId="2D1EC943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6</w:t>
      </w:r>
    </w:p>
    <w:p w14:paraId="111BE476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Umowę zawiera się na czas nieoznac</w:t>
      </w:r>
      <w:r>
        <w:rPr>
          <w:rFonts w:ascii="Times New Roman" w:hAnsi="Times New Roman"/>
          <w:spacing w:val="-4"/>
          <w:sz w:val="23"/>
          <w:szCs w:val="23"/>
        </w:rPr>
        <w:t xml:space="preserve">zony od dnia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……………2021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</w:t>
      </w:r>
    </w:p>
    <w:p w14:paraId="76184387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Strony mogą rozwiązać umowę za porozumieniem w dowolnym terminie.</w:t>
      </w:r>
    </w:p>
    <w:p w14:paraId="1BE388E2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Każda ze stron umowy może ją wypowiedzieć z zachowaniem 6-miesięcznego okresu wypowiedzenia, liczonego od dnia doręczenia drugiej stronie pisemnego oświadczenia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tej sprawie.</w:t>
      </w:r>
    </w:p>
    <w:p w14:paraId="0306FCE1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może wypowiedzieć niniejszą umowę bez zachowania terminu określonego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ust. 3 w następujących przypadkach:</w:t>
      </w:r>
    </w:p>
    <w:p w14:paraId="3E1FEEBF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używania przedmiotu dzierżawy zgodnie z przeznaczeniem;</w:t>
      </w:r>
    </w:p>
    <w:p w14:paraId="6A16F944" w14:textId="77777777" w:rsidR="009625A9" w:rsidRPr="00CC062B" w:rsidRDefault="009625A9" w:rsidP="009625A9">
      <w:pPr>
        <w:numPr>
          <w:ilvl w:val="1"/>
          <w:numId w:val="4"/>
        </w:numPr>
        <w:tabs>
          <w:tab w:val="clear" w:pos="1440"/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opłacania czynszu w określonym umową terminie przez okres dłuższy niż trzydzieści dni;</w:t>
      </w:r>
    </w:p>
    <w:p w14:paraId="0E659B6B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oddania przedmiotu dzierżawy osobie trzeciej do użytkowania;</w:t>
      </w:r>
    </w:p>
    <w:p w14:paraId="6B08190E" w14:textId="77777777" w:rsidR="009625A9" w:rsidRPr="008D6726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okresie wypowiedzenia umowy Dzierżawca ma prawo do pobrania pożytków, bez prawa żądania od Wydzierżawiającego zwrotu poniesionych nakładów.</w:t>
      </w:r>
    </w:p>
    <w:p w14:paraId="30B62F57" w14:textId="77777777" w:rsidR="009625A9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przypadku śmierci Dzierżawcy umowa wygasa.</w:t>
      </w:r>
    </w:p>
    <w:p w14:paraId="5842DCD1" w14:textId="77777777" w:rsidR="009625A9" w:rsidRPr="008D6726" w:rsidRDefault="009625A9" w:rsidP="009625A9">
      <w:pPr>
        <w:pStyle w:val="Akapitzlist"/>
        <w:widowControl/>
        <w:tabs>
          <w:tab w:val="num" w:pos="426"/>
        </w:tabs>
        <w:adjustRightInd/>
        <w:spacing w:before="120" w:line="288" w:lineRule="auto"/>
        <w:ind w:left="0"/>
        <w:contextualSpacing w:val="0"/>
        <w:textAlignment w:val="auto"/>
        <w:rPr>
          <w:spacing w:val="-4"/>
          <w:sz w:val="23"/>
          <w:szCs w:val="23"/>
        </w:rPr>
      </w:pPr>
    </w:p>
    <w:p w14:paraId="181E3151" w14:textId="77777777" w:rsidR="009625A9" w:rsidRPr="00D97900" w:rsidRDefault="009625A9" w:rsidP="009625A9">
      <w:pPr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7</w:t>
      </w:r>
    </w:p>
    <w:p w14:paraId="5956BFC6" w14:textId="77777777" w:rsidR="009625A9" w:rsidRPr="005A5BD4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5A5BD4">
        <w:rPr>
          <w:spacing w:val="-4"/>
          <w:sz w:val="23"/>
          <w:szCs w:val="23"/>
        </w:rPr>
        <w:t>Strony ustalają, że kwota czynszu wynosi</w:t>
      </w:r>
      <w:r>
        <w:rPr>
          <w:spacing w:val="-4"/>
          <w:sz w:val="23"/>
          <w:szCs w:val="23"/>
        </w:rPr>
        <w:t xml:space="preserve"> </w:t>
      </w:r>
      <w:r w:rsidR="009E44A6">
        <w:rPr>
          <w:spacing w:val="-4"/>
          <w:sz w:val="23"/>
          <w:szCs w:val="23"/>
        </w:rPr>
        <w:t>…………….</w:t>
      </w:r>
      <w:r w:rsidRPr="005A5BD4">
        <w:rPr>
          <w:spacing w:val="-4"/>
          <w:sz w:val="23"/>
          <w:szCs w:val="23"/>
        </w:rPr>
        <w:t xml:space="preserve">złotych w stosunku rocznym (słownie złotych: </w:t>
      </w:r>
      <w:r w:rsidR="009E44A6">
        <w:rPr>
          <w:spacing w:val="-4"/>
          <w:sz w:val="23"/>
          <w:szCs w:val="23"/>
        </w:rPr>
        <w:t>……………………………..</w:t>
      </w:r>
      <w:r>
        <w:rPr>
          <w:spacing w:val="-4"/>
          <w:sz w:val="23"/>
          <w:szCs w:val="23"/>
        </w:rPr>
        <w:t xml:space="preserve">) </w:t>
      </w:r>
      <w:r w:rsidRPr="005A5BD4">
        <w:rPr>
          <w:spacing w:val="-4"/>
          <w:sz w:val="23"/>
          <w:szCs w:val="23"/>
        </w:rPr>
        <w:t xml:space="preserve">Czynsz określony w ust.1 nie obejmuje podatku od towarów i usług. </w:t>
      </w:r>
    </w:p>
    <w:p w14:paraId="7007F67A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podlegał będzie corocznej waloryzacji średniorocznym wskaźnikiem wzrostu cen towarów i usług konsumpcyjnych ogłoszonym przez Prezesa Głównego Urzędu Statystycznego w Dzienniku Urzędowym „Monitor Polski”. Pierwsza waloryzacja czynszu zost</w:t>
      </w:r>
      <w:r w:rsidR="002578A7">
        <w:rPr>
          <w:spacing w:val="-4"/>
          <w:sz w:val="23"/>
          <w:szCs w:val="23"/>
        </w:rPr>
        <w:t>anie dokonana z dniem 01.01.2022</w:t>
      </w:r>
      <w:r w:rsidRPr="00D97900">
        <w:rPr>
          <w:spacing w:val="-4"/>
          <w:sz w:val="23"/>
          <w:szCs w:val="23"/>
        </w:rPr>
        <w:t xml:space="preserve"> roku.</w:t>
      </w:r>
    </w:p>
    <w:p w14:paraId="7C87A791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Jeżeli wskaźnik wzrostu cen, o którym mowa wyżej będzie ujemny, to kwota czynszu obwiązująca  w danym roku nie ulegnie zmianie, tj. obliczona zostanie w wysokości obowiązującej w roku poprzednim.</w:t>
      </w:r>
    </w:p>
    <w:p w14:paraId="7B34729D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 xml:space="preserve">Czynsz, o którym mowa w ust.1 wraz z ewentualnym podatkiem od towarów i usług płatny będzie w terminie 14 dni licząc od dnia wystawienia faktury. </w:t>
      </w:r>
    </w:p>
    <w:p w14:paraId="261DE480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Pierwsza faktura za użytkowanie przedmiotu dzierżawy obejmować będzie okres od dnia zawarcia niniejszej umowy do końca bieżącego roku kalendarzowego i zostanie wystawiona w terminie 14 dni, licząc od dnia podpisania niniejszej umowy.</w:t>
      </w:r>
    </w:p>
    <w:p w14:paraId="63D3D8E4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lastRenderedPageBreak/>
        <w:t>Następne faktury obejmować będą kolejne lata kalendarzowe i wystawiane będą nie później niż do 15 marca każdego roku kalendarzowego.</w:t>
      </w:r>
    </w:p>
    <w:p w14:paraId="51348D3A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płatny będzie na rachunek bankowy wskazany na wystawionych fakturach lub w kasie nadleśnictwa.</w:t>
      </w:r>
    </w:p>
    <w:p w14:paraId="681AC136" w14:textId="77777777" w:rsidR="009625A9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W przypadku nie dotrzymania terminu płatności, Dzierżawca zobowiązuje się do zapłaty odsetek za opóźnienie w wysokości odsetek ustawowych za opóźnienie.</w:t>
      </w:r>
    </w:p>
    <w:p w14:paraId="657317F8" w14:textId="77777777" w:rsidR="009625A9" w:rsidRPr="00D97900" w:rsidRDefault="009625A9" w:rsidP="009625A9">
      <w:pPr>
        <w:pStyle w:val="Akapitzlist"/>
        <w:widowControl/>
        <w:adjustRightInd/>
        <w:spacing w:before="120" w:line="300" w:lineRule="auto"/>
        <w:ind w:left="425"/>
        <w:contextualSpacing w:val="0"/>
        <w:textAlignment w:val="auto"/>
        <w:rPr>
          <w:spacing w:val="-4"/>
          <w:sz w:val="23"/>
          <w:szCs w:val="23"/>
        </w:rPr>
      </w:pPr>
    </w:p>
    <w:p w14:paraId="0B6B7FC1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8</w:t>
      </w:r>
    </w:p>
    <w:p w14:paraId="3610CFDA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płacenia wszelkich ewentualnych podatków dotyczących przedmiotu dzierżawy  gminie, na terenie której znajduje się przedmiot dzierżawy.</w:t>
      </w:r>
    </w:p>
    <w:p w14:paraId="3E02B5A3" w14:textId="77777777" w:rsidR="009625A9" w:rsidRPr="002F1BF3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Jeżeli obowiązek składania deklaracji i zapłaty należnego podatku dotyczyłby Wydzierżawiającego, wówczas o kwotę zapłaconego podatku zostanie podniesiona kwota czynszu określona w § 7 ust.1 niniejszej umowy.</w:t>
      </w:r>
    </w:p>
    <w:p w14:paraId="08FF0715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9</w:t>
      </w:r>
    </w:p>
    <w:p w14:paraId="3ABF7471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Administratorem danych Dzierżawcy będzie Nadleśnictwo Golub-Dobrzyń. Dane będą przetwarzane w celu realizacji umowy oraz obowiązków prawnych wynikających z realizacji umowy. Więcej informacji o przetwarzaniu danych można uzyskać od Administratora.</w:t>
      </w:r>
    </w:p>
    <w:p w14:paraId="5DE2D549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10</w:t>
      </w:r>
    </w:p>
    <w:p w14:paraId="621D413C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Strony zmierzać będą do polubownego rozwiązywania sporów mogących wyniknąć z niniejszej umowy.</w:t>
      </w:r>
    </w:p>
    <w:p w14:paraId="175C9455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O ile polubowne rozwiązanie sporu się nie powiedzie, spór podlegać będzie rozstrzygnięciu przez sąd właściwy ze względu na miejsce położenia przedmiotu umowy.</w:t>
      </w:r>
    </w:p>
    <w:p w14:paraId="55B34C2E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11</w:t>
      </w:r>
    </w:p>
    <w:p w14:paraId="5A7E6F9B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 xml:space="preserve">Wszelkie zmiany postanowień niniejszej umowy wymagają dla swojej ważności zachowania formy pisemnej w postaci aneksu.     </w:t>
      </w:r>
    </w:p>
    <w:p w14:paraId="3F8C608E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 xml:space="preserve"> § 12</w:t>
      </w:r>
    </w:p>
    <w:p w14:paraId="0760F9DC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W sprawach nie uregulowanych niniejszą umową mają zastosowanie odpowiednie przepisy Kodeksu cywilnego.</w:t>
      </w:r>
    </w:p>
    <w:p w14:paraId="2E5E3155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13</w:t>
      </w:r>
    </w:p>
    <w:p w14:paraId="6E975D7F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 xml:space="preserve">Umowę sporządzono w dwóch jednobrzmiących egzemplarzach, po jednym egzemplarzu dla każdej </w:t>
      </w:r>
      <w:r w:rsidRPr="00345F19">
        <w:rPr>
          <w:rFonts w:ascii="Times New Roman" w:hAnsi="Times New Roman"/>
          <w:spacing w:val="-4"/>
          <w:sz w:val="23"/>
          <w:szCs w:val="23"/>
        </w:rPr>
        <w:br/>
        <w:t>ze stron.</w:t>
      </w:r>
    </w:p>
    <w:p w14:paraId="3FEAC640" w14:textId="77777777" w:rsidR="009625A9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2CC45B7E" w14:textId="77777777" w:rsidR="009625A9" w:rsidRPr="008D6726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03F6CD3D" w14:textId="77777777" w:rsidR="009625A9" w:rsidRPr="008D6726" w:rsidRDefault="009625A9" w:rsidP="009625A9">
      <w:pPr>
        <w:spacing w:before="120"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lastRenderedPageBreak/>
        <w:t>WYDZIERŻAWIAJĄCY</w:t>
      </w:r>
      <w:r>
        <w:rPr>
          <w:spacing w:val="-4"/>
          <w:sz w:val="23"/>
          <w:szCs w:val="23"/>
        </w:rPr>
        <w:t xml:space="preserve">                                                                          </w:t>
      </w:r>
      <w:r>
        <w:rPr>
          <w:spacing w:val="-4"/>
          <w:sz w:val="23"/>
          <w:szCs w:val="23"/>
        </w:rPr>
        <w:tab/>
      </w:r>
      <w:r w:rsidRPr="008D6726">
        <w:rPr>
          <w:spacing w:val="-4"/>
          <w:sz w:val="23"/>
          <w:szCs w:val="23"/>
        </w:rPr>
        <w:t>DZIERŻAWCA</w:t>
      </w:r>
    </w:p>
    <w:p w14:paraId="2E2C562F" w14:textId="77777777" w:rsidR="000743EF" w:rsidRDefault="000743EF"/>
    <w:sectPr w:rsidR="0007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A67"/>
    <w:multiLevelType w:val="hybridMultilevel"/>
    <w:tmpl w:val="0D388824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E9C0E5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4535"/>
    <w:multiLevelType w:val="hybridMultilevel"/>
    <w:tmpl w:val="2688A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00425"/>
    <w:multiLevelType w:val="hybridMultilevel"/>
    <w:tmpl w:val="99BC305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64771C"/>
    <w:multiLevelType w:val="hybridMultilevel"/>
    <w:tmpl w:val="689A6D6E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AC3E03"/>
    <w:multiLevelType w:val="hybridMultilevel"/>
    <w:tmpl w:val="54C2022E"/>
    <w:lvl w:ilvl="0" w:tplc="61AC7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B4CE5"/>
    <w:multiLevelType w:val="hybridMultilevel"/>
    <w:tmpl w:val="616A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F6"/>
    <w:multiLevelType w:val="hybridMultilevel"/>
    <w:tmpl w:val="BB16D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96762"/>
    <w:multiLevelType w:val="hybridMultilevel"/>
    <w:tmpl w:val="46A81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64"/>
    <w:multiLevelType w:val="hybridMultilevel"/>
    <w:tmpl w:val="BD981F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9C0E5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67E42"/>
    <w:multiLevelType w:val="hybridMultilevel"/>
    <w:tmpl w:val="629E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910ACD"/>
    <w:multiLevelType w:val="hybridMultilevel"/>
    <w:tmpl w:val="86643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AE2844">
      <w:start w:val="4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53C2B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40F9E"/>
    <w:multiLevelType w:val="hybridMultilevel"/>
    <w:tmpl w:val="0812D86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8C40BE"/>
    <w:multiLevelType w:val="hybridMultilevel"/>
    <w:tmpl w:val="D910CD3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78116473"/>
    <w:multiLevelType w:val="hybridMultilevel"/>
    <w:tmpl w:val="C7080E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D0E81"/>
    <w:multiLevelType w:val="hybridMultilevel"/>
    <w:tmpl w:val="20D88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1"/>
    <w:rsid w:val="000743EF"/>
    <w:rsid w:val="002578A7"/>
    <w:rsid w:val="003B4B98"/>
    <w:rsid w:val="00792E25"/>
    <w:rsid w:val="0089521E"/>
    <w:rsid w:val="009625A9"/>
    <w:rsid w:val="009A74A5"/>
    <w:rsid w:val="009E44A6"/>
    <w:rsid w:val="00AC5376"/>
    <w:rsid w:val="00B41431"/>
    <w:rsid w:val="00B761D7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CFC4"/>
  <w15:chartTrackingRefBased/>
  <w15:docId w15:val="{C85F033E-4F86-4CF4-87EC-7D36C6D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25A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Celina Iwan-Szlagowska</cp:lastModifiedBy>
  <cp:revision>2</cp:revision>
  <dcterms:created xsi:type="dcterms:W3CDTF">2021-05-19T11:31:00Z</dcterms:created>
  <dcterms:modified xsi:type="dcterms:W3CDTF">2021-05-19T11:31:00Z</dcterms:modified>
</cp:coreProperties>
</file>