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E1" w:rsidRPr="00565B94" w:rsidRDefault="000618E1" w:rsidP="00565B94">
      <w:pPr>
        <w:pStyle w:val="Nagwek3"/>
        <w:rPr>
          <w:rFonts w:ascii="Times New Roman" w:hAnsi="Times New Roman"/>
          <w:b/>
          <w:bCs/>
          <w:sz w:val="28"/>
          <w:szCs w:val="28"/>
        </w:rPr>
      </w:pPr>
      <w:r w:rsidRPr="00565B94">
        <w:rPr>
          <w:rFonts w:ascii="Times New Roman" w:hAnsi="Times New Roman"/>
          <w:b/>
          <w:bCs/>
          <w:sz w:val="28"/>
          <w:szCs w:val="28"/>
        </w:rPr>
        <w:t>Skarb Państwa Państwowe Gospodarstwo Leśne Lasy Państwowe Nadleśnictwo Dobrocin</w:t>
      </w:r>
    </w:p>
    <w:p w:rsidR="00565B94" w:rsidRDefault="000618E1" w:rsidP="00565B94">
      <w:pPr>
        <w:pStyle w:val="Nagwek3"/>
        <w:rPr>
          <w:rFonts w:ascii="Times New Roman" w:hAnsi="Times New Roman"/>
          <w:b/>
          <w:bCs/>
          <w:sz w:val="28"/>
          <w:szCs w:val="28"/>
        </w:rPr>
      </w:pPr>
      <w:r w:rsidRPr="00565B94">
        <w:rPr>
          <w:rFonts w:ascii="Times New Roman" w:hAnsi="Times New Roman"/>
          <w:b/>
          <w:bCs/>
          <w:sz w:val="28"/>
          <w:szCs w:val="28"/>
        </w:rPr>
        <w:t>adres: Dobrocin 20, 14-330 Małdyty tel. 89 7581772, fax. 089 6791852;</w:t>
      </w:r>
    </w:p>
    <w:p w:rsidR="000618E1" w:rsidRPr="00565B94" w:rsidRDefault="003B64DE" w:rsidP="00565B94">
      <w:pPr>
        <w:pStyle w:val="Nagwek3"/>
        <w:rPr>
          <w:rFonts w:ascii="Times New Roman" w:hAnsi="Times New Roman"/>
          <w:b/>
          <w:bCs/>
          <w:sz w:val="28"/>
          <w:szCs w:val="28"/>
        </w:rPr>
      </w:pPr>
      <w:hyperlink r:id="rId4" w:history="1">
        <w:r w:rsidR="000618E1" w:rsidRPr="00565B94">
          <w:rPr>
            <w:rStyle w:val="Hipercze"/>
            <w:rFonts w:ascii="Times New Roman" w:hAnsi="Times New Roman"/>
            <w:b/>
            <w:bCs/>
            <w:sz w:val="28"/>
            <w:szCs w:val="28"/>
          </w:rPr>
          <w:t>www.dobrocin.olsztyn.lasy.gov.pl</w:t>
        </w:r>
      </w:hyperlink>
      <w:r w:rsidR="000618E1" w:rsidRPr="00565B94">
        <w:rPr>
          <w:rFonts w:ascii="Times New Roman" w:hAnsi="Times New Roman"/>
          <w:b/>
          <w:bCs/>
          <w:sz w:val="28"/>
          <w:szCs w:val="28"/>
        </w:rPr>
        <w:t>; e-mail: dobrocin@olsztyn.lasy.gov.pl</w:t>
      </w:r>
    </w:p>
    <w:p w:rsidR="00565B94" w:rsidRDefault="00565B94" w:rsidP="000618E1">
      <w:pPr>
        <w:pStyle w:val="Zwykytekst"/>
        <w:jc w:val="both"/>
        <w:rPr>
          <w:rFonts w:ascii="Times New Roman" w:hAnsi="Times New Roman"/>
          <w:bCs/>
          <w:sz w:val="28"/>
          <w:szCs w:val="28"/>
        </w:rPr>
      </w:pPr>
    </w:p>
    <w:p w:rsidR="00565B94" w:rsidRPr="00565B94" w:rsidRDefault="000618E1" w:rsidP="000618E1">
      <w:pPr>
        <w:pStyle w:val="Zwykytekst"/>
        <w:jc w:val="both"/>
        <w:rPr>
          <w:rFonts w:ascii="Times New Roman" w:hAnsi="Times New Roman"/>
          <w:bCs/>
          <w:sz w:val="28"/>
          <w:szCs w:val="28"/>
        </w:rPr>
      </w:pPr>
      <w:r w:rsidRPr="00565B94">
        <w:rPr>
          <w:rFonts w:ascii="Times New Roman" w:hAnsi="Times New Roman"/>
          <w:bCs/>
          <w:sz w:val="28"/>
          <w:szCs w:val="28"/>
        </w:rPr>
        <w:t xml:space="preserve">na podstawie art. 38 </w:t>
      </w:r>
      <w:r w:rsidRPr="00565B94">
        <w:rPr>
          <w:rFonts w:ascii="Times New Roman" w:hAnsi="Times New Roman"/>
          <w:sz w:val="28"/>
          <w:szCs w:val="28"/>
        </w:rPr>
        <w:t>ustawy z dnia 28 września 1991 r. o lasach (</w:t>
      </w:r>
      <w:proofErr w:type="spellStart"/>
      <w:r w:rsidRPr="00565B94">
        <w:rPr>
          <w:rFonts w:ascii="Times New Roman" w:hAnsi="Times New Roman"/>
          <w:sz w:val="28"/>
          <w:szCs w:val="28"/>
        </w:rPr>
        <w:t>t.j</w:t>
      </w:r>
      <w:proofErr w:type="spellEnd"/>
      <w:r w:rsidRPr="00565B94">
        <w:rPr>
          <w:rFonts w:ascii="Times New Roman" w:hAnsi="Times New Roman"/>
          <w:sz w:val="28"/>
          <w:szCs w:val="28"/>
        </w:rPr>
        <w:t xml:space="preserve">. Dz. U. 2020 poz. 1463) oraz </w:t>
      </w:r>
      <w:r w:rsidRPr="00565B94">
        <w:rPr>
          <w:rFonts w:ascii="Times New Roman" w:hAnsi="Times New Roman"/>
          <w:bCs/>
          <w:sz w:val="28"/>
          <w:szCs w:val="28"/>
        </w:rPr>
        <w:t>Rozporządzenia Ministra Środowiska z dnia 20 kwietnia 2007 r. w sprawie szczegółowych warunków i trybu przeprowadzania przetargu publicznego oraz sposobu i warunków przeprowadzania negocjacji cenowej w przypadku sprzedaży lasów, gruntów  i innych nieruchomości znajdujących się w zarządzie Lasów Państwowych ( Dz. U. 2007 Nr 78, poz. 532) ogłasza przetarg ustny nieograniczony na sprzedaż następujących nieruchomości gruntowych zabudowanych:</w:t>
      </w:r>
    </w:p>
    <w:p w:rsidR="000618E1" w:rsidRPr="008D49E3" w:rsidRDefault="000618E1" w:rsidP="000618E1">
      <w:pPr>
        <w:jc w:val="both"/>
        <w:rPr>
          <w:bCs/>
          <w:sz w:val="22"/>
          <w:szCs w:val="22"/>
        </w:rPr>
      </w:pPr>
    </w:p>
    <w:tbl>
      <w:tblPr>
        <w:tblW w:w="1599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1560"/>
        <w:gridCol w:w="1701"/>
        <w:gridCol w:w="992"/>
        <w:gridCol w:w="2381"/>
        <w:gridCol w:w="2977"/>
        <w:gridCol w:w="1588"/>
        <w:gridCol w:w="2097"/>
      </w:tblGrid>
      <w:tr w:rsidR="000618E1" w:rsidRPr="00565B94" w:rsidTr="00565B94">
        <w:tc>
          <w:tcPr>
            <w:tcW w:w="567" w:type="dxa"/>
          </w:tcPr>
          <w:p w:rsidR="000618E1" w:rsidRPr="00565B94" w:rsidRDefault="000618E1" w:rsidP="00C05818">
            <w:pPr>
              <w:rPr>
                <w:bCs/>
              </w:rPr>
            </w:pPr>
            <w:proofErr w:type="spellStart"/>
            <w:r w:rsidRPr="00565B94">
              <w:rPr>
                <w:bCs/>
              </w:rPr>
              <w:t>Lp</w:t>
            </w:r>
            <w:proofErr w:type="spellEnd"/>
          </w:p>
        </w:tc>
        <w:tc>
          <w:tcPr>
            <w:tcW w:w="2127" w:type="dxa"/>
          </w:tcPr>
          <w:p w:rsidR="000618E1" w:rsidRPr="00565B94" w:rsidRDefault="000618E1" w:rsidP="00C05818">
            <w:pPr>
              <w:rPr>
                <w:bCs/>
              </w:rPr>
            </w:pPr>
            <w:r w:rsidRPr="00565B94">
              <w:rPr>
                <w:bCs/>
              </w:rPr>
              <w:t>Nr Księgi Wieczystej</w:t>
            </w:r>
          </w:p>
        </w:tc>
        <w:tc>
          <w:tcPr>
            <w:tcW w:w="1560" w:type="dxa"/>
          </w:tcPr>
          <w:p w:rsidR="000618E1" w:rsidRPr="00565B94" w:rsidRDefault="000618E1" w:rsidP="00C05818">
            <w:pPr>
              <w:rPr>
                <w:bCs/>
              </w:rPr>
            </w:pPr>
            <w:r w:rsidRPr="00565B94">
              <w:rPr>
                <w:bCs/>
              </w:rPr>
              <w:t>Gmina</w:t>
            </w:r>
          </w:p>
          <w:p w:rsidR="000618E1" w:rsidRPr="00565B94" w:rsidRDefault="000618E1" w:rsidP="00C05818">
            <w:pPr>
              <w:rPr>
                <w:bCs/>
              </w:rPr>
            </w:pPr>
            <w:r w:rsidRPr="00565B94">
              <w:rPr>
                <w:bCs/>
              </w:rPr>
              <w:t xml:space="preserve">Obręb ewidencyjny </w:t>
            </w:r>
          </w:p>
        </w:tc>
        <w:tc>
          <w:tcPr>
            <w:tcW w:w="1701" w:type="dxa"/>
          </w:tcPr>
          <w:p w:rsidR="000618E1" w:rsidRPr="00565B94" w:rsidRDefault="000618E1" w:rsidP="00C05818">
            <w:pPr>
              <w:rPr>
                <w:bCs/>
              </w:rPr>
            </w:pPr>
            <w:r w:rsidRPr="00565B94">
              <w:rPr>
                <w:bCs/>
              </w:rPr>
              <w:t>Oznaczenie nieruchomości wg danych z ewidencji gruntów i budynków</w:t>
            </w:r>
          </w:p>
        </w:tc>
        <w:tc>
          <w:tcPr>
            <w:tcW w:w="992" w:type="dxa"/>
          </w:tcPr>
          <w:p w:rsidR="000618E1" w:rsidRPr="00565B94" w:rsidRDefault="000618E1" w:rsidP="00C05818">
            <w:pPr>
              <w:rPr>
                <w:bCs/>
              </w:rPr>
            </w:pPr>
            <w:r w:rsidRPr="00565B94">
              <w:rPr>
                <w:bCs/>
              </w:rPr>
              <w:t>Pow.</w:t>
            </w:r>
          </w:p>
          <w:p w:rsidR="000618E1" w:rsidRPr="00565B94" w:rsidRDefault="000618E1" w:rsidP="00C05818">
            <w:pPr>
              <w:rPr>
                <w:bCs/>
              </w:rPr>
            </w:pPr>
            <w:r w:rsidRPr="00565B94">
              <w:rPr>
                <w:bCs/>
              </w:rPr>
              <w:t xml:space="preserve"> (ha)</w:t>
            </w:r>
          </w:p>
        </w:tc>
        <w:tc>
          <w:tcPr>
            <w:tcW w:w="2381" w:type="dxa"/>
          </w:tcPr>
          <w:p w:rsidR="000618E1" w:rsidRPr="00565B94" w:rsidRDefault="000618E1" w:rsidP="00C05818">
            <w:pPr>
              <w:rPr>
                <w:bCs/>
              </w:rPr>
            </w:pPr>
            <w:r w:rsidRPr="00565B94">
              <w:rPr>
                <w:bCs/>
              </w:rPr>
              <w:t>Opis nieruchomości oraz sposób zagospodarowania</w:t>
            </w:r>
          </w:p>
        </w:tc>
        <w:tc>
          <w:tcPr>
            <w:tcW w:w="2977" w:type="dxa"/>
          </w:tcPr>
          <w:p w:rsidR="000618E1" w:rsidRPr="00565B94" w:rsidRDefault="000618E1" w:rsidP="00C05818">
            <w:pPr>
              <w:rPr>
                <w:bCs/>
              </w:rPr>
            </w:pPr>
            <w:r w:rsidRPr="00565B94">
              <w:rPr>
                <w:bCs/>
              </w:rPr>
              <w:t>Przeznaczenie w studium uwarunkowań i kierunków zagospodarowania przestrzennego (brak miejscowego planu zagospodarowania przestrzennego)</w:t>
            </w:r>
          </w:p>
        </w:tc>
        <w:tc>
          <w:tcPr>
            <w:tcW w:w="1588" w:type="dxa"/>
          </w:tcPr>
          <w:p w:rsidR="000618E1" w:rsidRPr="00565B94" w:rsidRDefault="000618E1" w:rsidP="00C05818">
            <w:pPr>
              <w:rPr>
                <w:bCs/>
              </w:rPr>
            </w:pPr>
            <w:r w:rsidRPr="00565B94">
              <w:rPr>
                <w:bCs/>
              </w:rPr>
              <w:t>Cena wywoławcza</w:t>
            </w:r>
          </w:p>
          <w:p w:rsidR="000618E1" w:rsidRPr="00565B94" w:rsidRDefault="000618E1" w:rsidP="00C05818">
            <w:pPr>
              <w:rPr>
                <w:bCs/>
              </w:rPr>
            </w:pPr>
            <w:r w:rsidRPr="00565B94">
              <w:rPr>
                <w:bCs/>
              </w:rPr>
              <w:t>(zł brutto)</w:t>
            </w:r>
          </w:p>
        </w:tc>
        <w:tc>
          <w:tcPr>
            <w:tcW w:w="2097" w:type="dxa"/>
          </w:tcPr>
          <w:p w:rsidR="000618E1" w:rsidRPr="00565B94" w:rsidRDefault="000618E1" w:rsidP="00C05818">
            <w:pPr>
              <w:rPr>
                <w:bCs/>
              </w:rPr>
            </w:pPr>
            <w:r w:rsidRPr="00565B94">
              <w:rPr>
                <w:bCs/>
              </w:rPr>
              <w:t>Uwagi</w:t>
            </w:r>
          </w:p>
        </w:tc>
      </w:tr>
      <w:tr w:rsidR="000618E1" w:rsidRPr="00565B94" w:rsidTr="00565B94">
        <w:tc>
          <w:tcPr>
            <w:tcW w:w="567" w:type="dxa"/>
          </w:tcPr>
          <w:p w:rsidR="000618E1" w:rsidRPr="00565B94" w:rsidRDefault="000618E1" w:rsidP="00C05818">
            <w:pPr>
              <w:jc w:val="both"/>
              <w:rPr>
                <w:bCs/>
              </w:rPr>
            </w:pPr>
            <w:r w:rsidRPr="00565B94">
              <w:rPr>
                <w:bCs/>
              </w:rPr>
              <w:t>1</w:t>
            </w:r>
          </w:p>
          <w:p w:rsidR="000618E1" w:rsidRPr="00565B94" w:rsidRDefault="000618E1" w:rsidP="00C05818">
            <w:pPr>
              <w:jc w:val="both"/>
              <w:rPr>
                <w:bCs/>
              </w:rPr>
            </w:pPr>
          </w:p>
        </w:tc>
        <w:tc>
          <w:tcPr>
            <w:tcW w:w="2127" w:type="dxa"/>
          </w:tcPr>
          <w:p w:rsidR="000618E1" w:rsidRPr="00565B94" w:rsidRDefault="000618E1" w:rsidP="00C05818">
            <w:pPr>
              <w:jc w:val="both"/>
              <w:rPr>
                <w:bCs/>
              </w:rPr>
            </w:pPr>
            <w:r w:rsidRPr="00565B94">
              <w:rPr>
                <w:bCs/>
              </w:rPr>
              <w:t>EL2O/00015879/0</w:t>
            </w:r>
          </w:p>
          <w:p w:rsidR="000618E1" w:rsidRPr="00565B94" w:rsidRDefault="000618E1" w:rsidP="00C05818">
            <w:pPr>
              <w:jc w:val="both"/>
              <w:rPr>
                <w:bCs/>
              </w:rPr>
            </w:pPr>
            <w:r w:rsidRPr="00565B94">
              <w:rPr>
                <w:bCs/>
              </w:rPr>
              <w:t>Sąd Rejonowy w Ostródzie</w:t>
            </w:r>
          </w:p>
        </w:tc>
        <w:tc>
          <w:tcPr>
            <w:tcW w:w="1560" w:type="dxa"/>
          </w:tcPr>
          <w:p w:rsidR="000618E1" w:rsidRPr="00565B94" w:rsidRDefault="000618E1" w:rsidP="00C05818">
            <w:pPr>
              <w:jc w:val="both"/>
              <w:rPr>
                <w:bCs/>
              </w:rPr>
            </w:pPr>
            <w:r w:rsidRPr="00565B94">
              <w:rPr>
                <w:bCs/>
              </w:rPr>
              <w:t>Małdyty</w:t>
            </w:r>
          </w:p>
          <w:p w:rsidR="000618E1" w:rsidRPr="00565B94" w:rsidRDefault="000618E1" w:rsidP="00C05818">
            <w:pPr>
              <w:jc w:val="both"/>
              <w:rPr>
                <w:bCs/>
              </w:rPr>
            </w:pPr>
            <w:r w:rsidRPr="00565B94">
              <w:rPr>
                <w:bCs/>
              </w:rPr>
              <w:t>Stare Kiełkuty</w:t>
            </w:r>
          </w:p>
        </w:tc>
        <w:tc>
          <w:tcPr>
            <w:tcW w:w="1701" w:type="dxa"/>
          </w:tcPr>
          <w:p w:rsidR="000618E1" w:rsidRPr="00565B94" w:rsidRDefault="000618E1" w:rsidP="00C05818">
            <w:pPr>
              <w:jc w:val="both"/>
              <w:rPr>
                <w:bCs/>
              </w:rPr>
            </w:pPr>
            <w:r w:rsidRPr="00565B94">
              <w:rPr>
                <w:bCs/>
              </w:rPr>
              <w:t>267/71</w:t>
            </w:r>
          </w:p>
          <w:p w:rsidR="000618E1" w:rsidRPr="00565B94" w:rsidRDefault="000618E1" w:rsidP="00C05818">
            <w:pPr>
              <w:jc w:val="both"/>
              <w:rPr>
                <w:bCs/>
              </w:rPr>
            </w:pPr>
          </w:p>
        </w:tc>
        <w:tc>
          <w:tcPr>
            <w:tcW w:w="992" w:type="dxa"/>
          </w:tcPr>
          <w:p w:rsidR="000618E1" w:rsidRPr="00565B94" w:rsidRDefault="000618E1" w:rsidP="00C05818">
            <w:pPr>
              <w:jc w:val="both"/>
              <w:rPr>
                <w:bCs/>
              </w:rPr>
            </w:pPr>
            <w:r w:rsidRPr="00565B94">
              <w:rPr>
                <w:bCs/>
              </w:rPr>
              <w:t>0,0042</w:t>
            </w:r>
          </w:p>
          <w:p w:rsidR="000618E1" w:rsidRPr="00565B94" w:rsidRDefault="000618E1" w:rsidP="00C05818">
            <w:pPr>
              <w:jc w:val="both"/>
              <w:rPr>
                <w:bCs/>
              </w:rPr>
            </w:pPr>
          </w:p>
        </w:tc>
        <w:tc>
          <w:tcPr>
            <w:tcW w:w="2381" w:type="dxa"/>
          </w:tcPr>
          <w:p w:rsidR="000618E1" w:rsidRPr="00565B94" w:rsidRDefault="000618E1" w:rsidP="003B64DE">
            <w:pPr>
              <w:rPr>
                <w:bCs/>
              </w:rPr>
            </w:pPr>
            <w:r w:rsidRPr="00565B94">
              <w:rPr>
                <w:bCs/>
              </w:rPr>
              <w:t>B; nieruchomość zabudowana  boksem garażowym o pow. użytkowej 15,81 m2</w:t>
            </w:r>
          </w:p>
        </w:tc>
        <w:tc>
          <w:tcPr>
            <w:tcW w:w="2977" w:type="dxa"/>
          </w:tcPr>
          <w:p w:rsidR="000618E1" w:rsidRPr="00565B94" w:rsidRDefault="000618E1" w:rsidP="00C05818">
            <w:r w:rsidRPr="00565B94">
              <w:rPr>
                <w:bCs/>
              </w:rPr>
              <w:t>Teren wskazany do uzupełnień i przekształceń w kierunku zabudowy mieszkaniowej i usługowej</w:t>
            </w:r>
          </w:p>
        </w:tc>
        <w:tc>
          <w:tcPr>
            <w:tcW w:w="1588" w:type="dxa"/>
          </w:tcPr>
          <w:p w:rsidR="000618E1" w:rsidRPr="00565B94" w:rsidRDefault="000618E1" w:rsidP="00C05818">
            <w:pPr>
              <w:jc w:val="both"/>
              <w:rPr>
                <w:bCs/>
              </w:rPr>
            </w:pPr>
            <w:r w:rsidRPr="00565B94">
              <w:rPr>
                <w:bCs/>
              </w:rPr>
              <w:t xml:space="preserve">3000,00 </w:t>
            </w:r>
          </w:p>
        </w:tc>
        <w:tc>
          <w:tcPr>
            <w:tcW w:w="2097" w:type="dxa"/>
          </w:tcPr>
          <w:p w:rsidR="000618E1" w:rsidRPr="00565B94" w:rsidRDefault="003B64DE" w:rsidP="003B64DE">
            <w:pPr>
              <w:rPr>
                <w:bCs/>
              </w:rPr>
            </w:pPr>
            <w:r>
              <w:rPr>
                <w:bCs/>
              </w:rPr>
              <w:t xml:space="preserve">Na </w:t>
            </w:r>
            <w:r w:rsidR="000618E1" w:rsidRPr="00565B94">
              <w:rPr>
                <w:bCs/>
              </w:rPr>
              <w:t>działce przebiega sieć wodociągowa własność Gm. Małdyty obowiązuje umowa dzierżawy</w:t>
            </w:r>
          </w:p>
        </w:tc>
      </w:tr>
      <w:tr w:rsidR="000618E1" w:rsidRPr="00565B94" w:rsidTr="00565B94">
        <w:tc>
          <w:tcPr>
            <w:tcW w:w="567" w:type="dxa"/>
          </w:tcPr>
          <w:p w:rsidR="000618E1" w:rsidRPr="00565B94" w:rsidRDefault="000618E1" w:rsidP="00C05818">
            <w:pPr>
              <w:jc w:val="both"/>
              <w:rPr>
                <w:bCs/>
              </w:rPr>
            </w:pPr>
            <w:r w:rsidRPr="00565B94">
              <w:rPr>
                <w:bCs/>
              </w:rPr>
              <w:t>2</w:t>
            </w:r>
          </w:p>
        </w:tc>
        <w:tc>
          <w:tcPr>
            <w:tcW w:w="2127" w:type="dxa"/>
          </w:tcPr>
          <w:p w:rsidR="000618E1" w:rsidRPr="00565B94" w:rsidRDefault="000618E1" w:rsidP="00C05818">
            <w:pPr>
              <w:jc w:val="both"/>
              <w:rPr>
                <w:bCs/>
              </w:rPr>
            </w:pPr>
            <w:r w:rsidRPr="00565B94">
              <w:rPr>
                <w:bCs/>
              </w:rPr>
              <w:t>EL2O/00015879/0</w:t>
            </w:r>
          </w:p>
          <w:p w:rsidR="000618E1" w:rsidRPr="00565B94" w:rsidRDefault="000618E1" w:rsidP="00C05818">
            <w:pPr>
              <w:jc w:val="both"/>
              <w:rPr>
                <w:bCs/>
              </w:rPr>
            </w:pPr>
            <w:r w:rsidRPr="00565B94">
              <w:rPr>
                <w:bCs/>
              </w:rPr>
              <w:t>Sąd Rejonowy w Ostródzie</w:t>
            </w:r>
          </w:p>
        </w:tc>
        <w:tc>
          <w:tcPr>
            <w:tcW w:w="1560" w:type="dxa"/>
          </w:tcPr>
          <w:p w:rsidR="000618E1" w:rsidRPr="00565B94" w:rsidRDefault="000618E1" w:rsidP="00C05818">
            <w:pPr>
              <w:jc w:val="both"/>
              <w:rPr>
                <w:bCs/>
              </w:rPr>
            </w:pPr>
            <w:r w:rsidRPr="00565B94">
              <w:rPr>
                <w:bCs/>
              </w:rPr>
              <w:t>Małdyty</w:t>
            </w:r>
          </w:p>
          <w:p w:rsidR="000618E1" w:rsidRPr="00565B94" w:rsidRDefault="000618E1" w:rsidP="00C05818">
            <w:pPr>
              <w:jc w:val="both"/>
              <w:rPr>
                <w:bCs/>
              </w:rPr>
            </w:pPr>
            <w:r w:rsidRPr="00565B94">
              <w:rPr>
                <w:bCs/>
              </w:rPr>
              <w:t>Stare Kiełkuty</w:t>
            </w:r>
          </w:p>
        </w:tc>
        <w:tc>
          <w:tcPr>
            <w:tcW w:w="1701" w:type="dxa"/>
          </w:tcPr>
          <w:p w:rsidR="000618E1" w:rsidRPr="00565B94" w:rsidRDefault="000618E1" w:rsidP="00C05818">
            <w:pPr>
              <w:jc w:val="both"/>
              <w:rPr>
                <w:bCs/>
              </w:rPr>
            </w:pPr>
            <w:r w:rsidRPr="00565B94">
              <w:rPr>
                <w:bCs/>
              </w:rPr>
              <w:t>267/72</w:t>
            </w:r>
          </w:p>
        </w:tc>
        <w:tc>
          <w:tcPr>
            <w:tcW w:w="992" w:type="dxa"/>
          </w:tcPr>
          <w:p w:rsidR="000618E1" w:rsidRPr="00565B94" w:rsidRDefault="000618E1" w:rsidP="00C05818">
            <w:pPr>
              <w:jc w:val="both"/>
              <w:rPr>
                <w:bCs/>
              </w:rPr>
            </w:pPr>
            <w:r w:rsidRPr="00565B94">
              <w:rPr>
                <w:bCs/>
              </w:rPr>
              <w:t>0,0039</w:t>
            </w:r>
          </w:p>
        </w:tc>
        <w:tc>
          <w:tcPr>
            <w:tcW w:w="2381" w:type="dxa"/>
          </w:tcPr>
          <w:p w:rsidR="000618E1" w:rsidRPr="00565B94" w:rsidRDefault="000618E1" w:rsidP="003B64DE">
            <w:pPr>
              <w:rPr>
                <w:bCs/>
              </w:rPr>
            </w:pPr>
            <w:r w:rsidRPr="00565B94">
              <w:rPr>
                <w:bCs/>
              </w:rPr>
              <w:t>B; nieruchomość zabudowana  boksem garażowym o pow. użytkowej 15,81 m2</w:t>
            </w:r>
          </w:p>
        </w:tc>
        <w:tc>
          <w:tcPr>
            <w:tcW w:w="2977" w:type="dxa"/>
          </w:tcPr>
          <w:p w:rsidR="000618E1" w:rsidRPr="00565B94" w:rsidRDefault="000618E1" w:rsidP="00C05818">
            <w:r w:rsidRPr="00565B94">
              <w:rPr>
                <w:bCs/>
              </w:rPr>
              <w:t>Teren wskazany do uzupełnień i przekształceń w kierunku zabudowy mieszkaniowej i usługowej</w:t>
            </w:r>
          </w:p>
        </w:tc>
        <w:tc>
          <w:tcPr>
            <w:tcW w:w="1588" w:type="dxa"/>
          </w:tcPr>
          <w:p w:rsidR="000618E1" w:rsidRPr="00565B94" w:rsidRDefault="000618E1" w:rsidP="00C05818">
            <w:r w:rsidRPr="00565B94">
              <w:rPr>
                <w:bCs/>
              </w:rPr>
              <w:t>3000,00</w:t>
            </w:r>
          </w:p>
        </w:tc>
        <w:tc>
          <w:tcPr>
            <w:tcW w:w="2097" w:type="dxa"/>
          </w:tcPr>
          <w:p w:rsidR="000618E1" w:rsidRPr="00565B94" w:rsidRDefault="000618E1" w:rsidP="003B64DE">
            <w:pPr>
              <w:rPr>
                <w:bCs/>
              </w:rPr>
            </w:pPr>
            <w:r w:rsidRPr="00565B94">
              <w:rPr>
                <w:bCs/>
              </w:rPr>
              <w:t>Na działce przebiega sieć wodociągowa własność Gm. Małdyty obowiązuje umowa dzierżawy</w:t>
            </w:r>
          </w:p>
        </w:tc>
      </w:tr>
      <w:tr w:rsidR="000618E1" w:rsidRPr="00565B94" w:rsidTr="00565B94">
        <w:tc>
          <w:tcPr>
            <w:tcW w:w="567" w:type="dxa"/>
          </w:tcPr>
          <w:p w:rsidR="000618E1" w:rsidRPr="00565B94" w:rsidRDefault="000618E1" w:rsidP="000618E1">
            <w:pPr>
              <w:jc w:val="both"/>
              <w:rPr>
                <w:bCs/>
              </w:rPr>
            </w:pPr>
            <w:r w:rsidRPr="00565B94">
              <w:rPr>
                <w:bCs/>
              </w:rPr>
              <w:lastRenderedPageBreak/>
              <w:t>3</w:t>
            </w:r>
          </w:p>
        </w:tc>
        <w:tc>
          <w:tcPr>
            <w:tcW w:w="2127" w:type="dxa"/>
          </w:tcPr>
          <w:p w:rsidR="000618E1" w:rsidRPr="00565B94" w:rsidRDefault="000618E1" w:rsidP="000618E1">
            <w:pPr>
              <w:jc w:val="both"/>
              <w:rPr>
                <w:bCs/>
              </w:rPr>
            </w:pPr>
            <w:r w:rsidRPr="00565B94">
              <w:rPr>
                <w:bCs/>
              </w:rPr>
              <w:t>EL2O/00015879/0</w:t>
            </w:r>
          </w:p>
          <w:p w:rsidR="000618E1" w:rsidRPr="00565B94" w:rsidRDefault="000618E1" w:rsidP="000618E1">
            <w:pPr>
              <w:jc w:val="both"/>
              <w:rPr>
                <w:bCs/>
              </w:rPr>
            </w:pPr>
            <w:r w:rsidRPr="00565B94">
              <w:rPr>
                <w:bCs/>
              </w:rPr>
              <w:t>Sąd Rejonowy w Ostródzie</w:t>
            </w:r>
          </w:p>
        </w:tc>
        <w:tc>
          <w:tcPr>
            <w:tcW w:w="1560" w:type="dxa"/>
          </w:tcPr>
          <w:p w:rsidR="000618E1" w:rsidRPr="00565B94" w:rsidRDefault="000618E1" w:rsidP="000618E1">
            <w:pPr>
              <w:rPr>
                <w:bCs/>
              </w:rPr>
            </w:pPr>
            <w:r w:rsidRPr="00565B94">
              <w:rPr>
                <w:bCs/>
              </w:rPr>
              <w:t>Małdyty</w:t>
            </w:r>
          </w:p>
          <w:p w:rsidR="000618E1" w:rsidRPr="00565B94" w:rsidRDefault="000618E1" w:rsidP="000618E1">
            <w:r w:rsidRPr="00565B94">
              <w:rPr>
                <w:bCs/>
              </w:rPr>
              <w:t>Stare Kiełkuty</w:t>
            </w:r>
          </w:p>
        </w:tc>
        <w:tc>
          <w:tcPr>
            <w:tcW w:w="1701" w:type="dxa"/>
          </w:tcPr>
          <w:p w:rsidR="000618E1" w:rsidRPr="00565B94" w:rsidRDefault="000618E1" w:rsidP="000618E1">
            <w:pPr>
              <w:jc w:val="both"/>
              <w:rPr>
                <w:bCs/>
              </w:rPr>
            </w:pPr>
            <w:r w:rsidRPr="00565B94">
              <w:rPr>
                <w:bCs/>
              </w:rPr>
              <w:t>267/73</w:t>
            </w:r>
          </w:p>
        </w:tc>
        <w:tc>
          <w:tcPr>
            <w:tcW w:w="992" w:type="dxa"/>
          </w:tcPr>
          <w:p w:rsidR="000618E1" w:rsidRPr="00565B94" w:rsidRDefault="000618E1" w:rsidP="000618E1">
            <w:pPr>
              <w:jc w:val="both"/>
              <w:rPr>
                <w:bCs/>
              </w:rPr>
            </w:pPr>
            <w:r w:rsidRPr="00565B94">
              <w:rPr>
                <w:bCs/>
              </w:rPr>
              <w:t>0,0040</w:t>
            </w:r>
          </w:p>
        </w:tc>
        <w:tc>
          <w:tcPr>
            <w:tcW w:w="2381" w:type="dxa"/>
          </w:tcPr>
          <w:p w:rsidR="000618E1" w:rsidRPr="00565B94" w:rsidRDefault="000618E1" w:rsidP="003B64DE">
            <w:pPr>
              <w:rPr>
                <w:bCs/>
              </w:rPr>
            </w:pPr>
            <w:r w:rsidRPr="00565B94">
              <w:rPr>
                <w:bCs/>
              </w:rPr>
              <w:t>B; nieruchomość zabudowana  boksem garażowym o pow. użytkowej 15,81 m2</w:t>
            </w:r>
          </w:p>
        </w:tc>
        <w:tc>
          <w:tcPr>
            <w:tcW w:w="2977" w:type="dxa"/>
          </w:tcPr>
          <w:p w:rsidR="000618E1" w:rsidRPr="00565B94" w:rsidRDefault="000618E1" w:rsidP="000618E1">
            <w:r w:rsidRPr="00565B94">
              <w:rPr>
                <w:bCs/>
              </w:rPr>
              <w:t>Teren wskazany do uzupełnień i przekształceń w kierunku zabudowy mieszkaniowej i usługowej</w:t>
            </w:r>
          </w:p>
        </w:tc>
        <w:tc>
          <w:tcPr>
            <w:tcW w:w="1588" w:type="dxa"/>
          </w:tcPr>
          <w:p w:rsidR="000618E1" w:rsidRPr="00565B94" w:rsidRDefault="000618E1" w:rsidP="000618E1">
            <w:r w:rsidRPr="00565B94">
              <w:rPr>
                <w:bCs/>
              </w:rPr>
              <w:t>3000,00</w:t>
            </w:r>
          </w:p>
        </w:tc>
        <w:tc>
          <w:tcPr>
            <w:tcW w:w="2097" w:type="dxa"/>
          </w:tcPr>
          <w:p w:rsidR="000618E1" w:rsidRPr="00565B94" w:rsidRDefault="000618E1" w:rsidP="000618E1">
            <w:pPr>
              <w:jc w:val="both"/>
              <w:rPr>
                <w:bCs/>
                <w:color w:val="FF0000"/>
              </w:rPr>
            </w:pPr>
            <w:r w:rsidRPr="00565B94">
              <w:rPr>
                <w:bCs/>
              </w:rPr>
              <w:t>Na boks garażowy obowiązuje umowa dzierżawy na czas nieokreślony nabywcy przysługuje prawo jej wypowiedzenia z 3- miesięcznym okresem wypowiedzenia</w:t>
            </w:r>
          </w:p>
        </w:tc>
      </w:tr>
      <w:tr w:rsidR="000618E1" w:rsidRPr="00565B94" w:rsidTr="00565B94">
        <w:tc>
          <w:tcPr>
            <w:tcW w:w="567" w:type="dxa"/>
          </w:tcPr>
          <w:p w:rsidR="000618E1" w:rsidRPr="00565B94" w:rsidRDefault="000618E1" w:rsidP="000618E1">
            <w:pPr>
              <w:jc w:val="both"/>
              <w:rPr>
                <w:bCs/>
              </w:rPr>
            </w:pPr>
            <w:r w:rsidRPr="00565B94">
              <w:rPr>
                <w:bCs/>
              </w:rPr>
              <w:t>4</w:t>
            </w:r>
          </w:p>
        </w:tc>
        <w:tc>
          <w:tcPr>
            <w:tcW w:w="2127" w:type="dxa"/>
          </w:tcPr>
          <w:p w:rsidR="000618E1" w:rsidRPr="00565B94" w:rsidRDefault="000618E1" w:rsidP="000618E1">
            <w:pPr>
              <w:jc w:val="both"/>
              <w:rPr>
                <w:bCs/>
              </w:rPr>
            </w:pPr>
            <w:r w:rsidRPr="00565B94">
              <w:rPr>
                <w:bCs/>
              </w:rPr>
              <w:t>EL2O/00015879/0</w:t>
            </w:r>
          </w:p>
          <w:p w:rsidR="000618E1" w:rsidRPr="00565B94" w:rsidRDefault="000618E1" w:rsidP="000618E1">
            <w:pPr>
              <w:jc w:val="both"/>
              <w:rPr>
                <w:bCs/>
              </w:rPr>
            </w:pPr>
            <w:r w:rsidRPr="00565B94">
              <w:rPr>
                <w:bCs/>
              </w:rPr>
              <w:t>Sąd Rejonowy w Ostródzie</w:t>
            </w:r>
          </w:p>
        </w:tc>
        <w:tc>
          <w:tcPr>
            <w:tcW w:w="1560" w:type="dxa"/>
          </w:tcPr>
          <w:p w:rsidR="000618E1" w:rsidRPr="00565B94" w:rsidRDefault="000618E1" w:rsidP="000618E1">
            <w:pPr>
              <w:jc w:val="both"/>
              <w:rPr>
                <w:bCs/>
              </w:rPr>
            </w:pPr>
            <w:r w:rsidRPr="00565B94">
              <w:rPr>
                <w:bCs/>
              </w:rPr>
              <w:t>Małdyty</w:t>
            </w:r>
          </w:p>
          <w:p w:rsidR="000618E1" w:rsidRPr="00565B94" w:rsidRDefault="000618E1" w:rsidP="000618E1">
            <w:pPr>
              <w:jc w:val="both"/>
              <w:rPr>
                <w:bCs/>
              </w:rPr>
            </w:pPr>
            <w:r w:rsidRPr="00565B94">
              <w:rPr>
                <w:bCs/>
              </w:rPr>
              <w:t>Stare Kiełkuty</w:t>
            </w:r>
          </w:p>
        </w:tc>
        <w:tc>
          <w:tcPr>
            <w:tcW w:w="1701" w:type="dxa"/>
          </w:tcPr>
          <w:p w:rsidR="000618E1" w:rsidRPr="00565B94" w:rsidRDefault="000618E1" w:rsidP="000618E1">
            <w:pPr>
              <w:jc w:val="both"/>
              <w:rPr>
                <w:bCs/>
              </w:rPr>
            </w:pPr>
            <w:r w:rsidRPr="00565B94">
              <w:rPr>
                <w:bCs/>
              </w:rPr>
              <w:t>267/74</w:t>
            </w:r>
          </w:p>
        </w:tc>
        <w:tc>
          <w:tcPr>
            <w:tcW w:w="992" w:type="dxa"/>
          </w:tcPr>
          <w:p w:rsidR="000618E1" w:rsidRPr="00565B94" w:rsidRDefault="000618E1" w:rsidP="000618E1">
            <w:pPr>
              <w:jc w:val="both"/>
              <w:rPr>
                <w:bCs/>
              </w:rPr>
            </w:pPr>
            <w:r w:rsidRPr="00565B94">
              <w:rPr>
                <w:bCs/>
              </w:rPr>
              <w:t>0,0040</w:t>
            </w:r>
          </w:p>
        </w:tc>
        <w:tc>
          <w:tcPr>
            <w:tcW w:w="2381" w:type="dxa"/>
          </w:tcPr>
          <w:p w:rsidR="000618E1" w:rsidRPr="00565B94" w:rsidRDefault="000618E1" w:rsidP="003B64DE">
            <w:pPr>
              <w:rPr>
                <w:bCs/>
              </w:rPr>
            </w:pPr>
            <w:r w:rsidRPr="00565B94">
              <w:rPr>
                <w:bCs/>
              </w:rPr>
              <w:t>B; nieruchomość zabudowana  boksem garażowym o pow. użytkowej 15,81 m2</w:t>
            </w:r>
          </w:p>
        </w:tc>
        <w:tc>
          <w:tcPr>
            <w:tcW w:w="2977" w:type="dxa"/>
          </w:tcPr>
          <w:p w:rsidR="000618E1" w:rsidRPr="00565B94" w:rsidRDefault="000618E1" w:rsidP="000618E1">
            <w:r w:rsidRPr="00565B94">
              <w:rPr>
                <w:bCs/>
              </w:rPr>
              <w:t>Teren wskazany do uzupełnień i przekształceń w kierunku zabudowy mieszkaniowej i usługowej</w:t>
            </w:r>
          </w:p>
        </w:tc>
        <w:tc>
          <w:tcPr>
            <w:tcW w:w="1588" w:type="dxa"/>
          </w:tcPr>
          <w:p w:rsidR="000618E1" w:rsidRPr="00565B94" w:rsidRDefault="000618E1" w:rsidP="000618E1">
            <w:r w:rsidRPr="00565B94">
              <w:rPr>
                <w:bCs/>
              </w:rPr>
              <w:t>3000,00</w:t>
            </w:r>
          </w:p>
        </w:tc>
        <w:tc>
          <w:tcPr>
            <w:tcW w:w="2097" w:type="dxa"/>
          </w:tcPr>
          <w:p w:rsidR="000618E1" w:rsidRPr="00565B94" w:rsidRDefault="000618E1" w:rsidP="000618E1">
            <w:pPr>
              <w:jc w:val="both"/>
              <w:rPr>
                <w:bCs/>
                <w:color w:val="FF0000"/>
              </w:rPr>
            </w:pPr>
            <w:r w:rsidRPr="00565B94">
              <w:rPr>
                <w:bCs/>
              </w:rPr>
              <w:t>Na boks garażowy obowiązuje umowa dzierżawy na czas nieokreślony nabywcy przysługuje prawo jej wypowiedzenia z 3- miesięcznym okresem wypowiedzenia</w:t>
            </w:r>
          </w:p>
        </w:tc>
      </w:tr>
      <w:tr w:rsidR="000618E1" w:rsidRPr="00565B94" w:rsidTr="00565B94">
        <w:tc>
          <w:tcPr>
            <w:tcW w:w="567" w:type="dxa"/>
          </w:tcPr>
          <w:p w:rsidR="000618E1" w:rsidRPr="00565B94" w:rsidRDefault="000618E1" w:rsidP="000618E1">
            <w:pPr>
              <w:jc w:val="both"/>
              <w:rPr>
                <w:bCs/>
              </w:rPr>
            </w:pPr>
            <w:r w:rsidRPr="00565B94">
              <w:rPr>
                <w:bCs/>
              </w:rPr>
              <w:t>5</w:t>
            </w:r>
          </w:p>
        </w:tc>
        <w:tc>
          <w:tcPr>
            <w:tcW w:w="2127" w:type="dxa"/>
          </w:tcPr>
          <w:p w:rsidR="000618E1" w:rsidRPr="00565B94" w:rsidRDefault="000618E1" w:rsidP="000618E1">
            <w:pPr>
              <w:jc w:val="both"/>
              <w:rPr>
                <w:bCs/>
              </w:rPr>
            </w:pPr>
            <w:r w:rsidRPr="00565B94">
              <w:rPr>
                <w:bCs/>
              </w:rPr>
              <w:t>EL2O/00015879/0</w:t>
            </w:r>
          </w:p>
          <w:p w:rsidR="000618E1" w:rsidRPr="00565B94" w:rsidRDefault="000618E1" w:rsidP="000618E1">
            <w:pPr>
              <w:jc w:val="both"/>
              <w:rPr>
                <w:bCs/>
              </w:rPr>
            </w:pPr>
            <w:r w:rsidRPr="00565B94">
              <w:rPr>
                <w:bCs/>
              </w:rPr>
              <w:t>Sąd Rejonowy w Ostródzie</w:t>
            </w:r>
          </w:p>
        </w:tc>
        <w:tc>
          <w:tcPr>
            <w:tcW w:w="1560" w:type="dxa"/>
          </w:tcPr>
          <w:p w:rsidR="000618E1" w:rsidRPr="00565B94" w:rsidRDefault="000618E1" w:rsidP="000618E1">
            <w:pPr>
              <w:rPr>
                <w:bCs/>
              </w:rPr>
            </w:pPr>
            <w:r w:rsidRPr="00565B94">
              <w:rPr>
                <w:bCs/>
              </w:rPr>
              <w:t>Małdyty</w:t>
            </w:r>
          </w:p>
          <w:p w:rsidR="000618E1" w:rsidRPr="00565B94" w:rsidRDefault="000618E1" w:rsidP="000618E1">
            <w:r w:rsidRPr="00565B94">
              <w:rPr>
                <w:bCs/>
              </w:rPr>
              <w:t>Stare Kiełkuty</w:t>
            </w:r>
          </w:p>
        </w:tc>
        <w:tc>
          <w:tcPr>
            <w:tcW w:w="1701" w:type="dxa"/>
          </w:tcPr>
          <w:p w:rsidR="000618E1" w:rsidRPr="00565B94" w:rsidRDefault="000618E1" w:rsidP="000618E1">
            <w:pPr>
              <w:jc w:val="both"/>
              <w:rPr>
                <w:bCs/>
              </w:rPr>
            </w:pPr>
            <w:r w:rsidRPr="00565B94">
              <w:rPr>
                <w:bCs/>
              </w:rPr>
              <w:t>267/79</w:t>
            </w:r>
          </w:p>
        </w:tc>
        <w:tc>
          <w:tcPr>
            <w:tcW w:w="992" w:type="dxa"/>
          </w:tcPr>
          <w:p w:rsidR="000618E1" w:rsidRPr="00565B94" w:rsidRDefault="000618E1" w:rsidP="000618E1">
            <w:pPr>
              <w:jc w:val="both"/>
              <w:rPr>
                <w:bCs/>
              </w:rPr>
            </w:pPr>
            <w:r w:rsidRPr="00565B94">
              <w:rPr>
                <w:bCs/>
              </w:rPr>
              <w:t>0,0043</w:t>
            </w:r>
          </w:p>
        </w:tc>
        <w:tc>
          <w:tcPr>
            <w:tcW w:w="2381" w:type="dxa"/>
          </w:tcPr>
          <w:p w:rsidR="000618E1" w:rsidRPr="00565B94" w:rsidRDefault="000618E1" w:rsidP="003B64DE">
            <w:pPr>
              <w:rPr>
                <w:bCs/>
              </w:rPr>
            </w:pPr>
            <w:r w:rsidRPr="00565B94">
              <w:rPr>
                <w:bCs/>
              </w:rPr>
              <w:t>B; nieruchomość zabudowana  boksem garażowym o pow. użytkowej 15,81 m2</w:t>
            </w:r>
          </w:p>
        </w:tc>
        <w:tc>
          <w:tcPr>
            <w:tcW w:w="2977" w:type="dxa"/>
          </w:tcPr>
          <w:p w:rsidR="000618E1" w:rsidRPr="00565B94" w:rsidRDefault="000618E1" w:rsidP="000618E1">
            <w:r w:rsidRPr="00565B94">
              <w:rPr>
                <w:bCs/>
              </w:rPr>
              <w:t>Teren wskazany do uzupełnień i przekształceń w kierunku zabudowy mieszkaniowej i usługowej</w:t>
            </w:r>
          </w:p>
        </w:tc>
        <w:tc>
          <w:tcPr>
            <w:tcW w:w="1588" w:type="dxa"/>
          </w:tcPr>
          <w:p w:rsidR="000618E1" w:rsidRPr="00565B94" w:rsidRDefault="000618E1" w:rsidP="000618E1">
            <w:r w:rsidRPr="00565B94">
              <w:rPr>
                <w:bCs/>
              </w:rPr>
              <w:t>3000,00</w:t>
            </w:r>
          </w:p>
        </w:tc>
        <w:tc>
          <w:tcPr>
            <w:tcW w:w="2097" w:type="dxa"/>
          </w:tcPr>
          <w:p w:rsidR="000618E1" w:rsidRPr="00565B94" w:rsidRDefault="000618E1" w:rsidP="000618E1">
            <w:pPr>
              <w:jc w:val="both"/>
              <w:rPr>
                <w:bCs/>
              </w:rPr>
            </w:pPr>
            <w:r w:rsidRPr="00565B94">
              <w:rPr>
                <w:bCs/>
              </w:rPr>
              <w:t>Na boks garażowy obowiązuje umowa dzierżawy na czas nieokreślony nabywcy przysługuje prawo jej wypowiedzenia z 3- miesięcznym okresem wypowiedzenia</w:t>
            </w:r>
          </w:p>
        </w:tc>
      </w:tr>
      <w:tr w:rsidR="000618E1" w:rsidRPr="00565B94" w:rsidTr="00565B94">
        <w:tc>
          <w:tcPr>
            <w:tcW w:w="567" w:type="dxa"/>
          </w:tcPr>
          <w:p w:rsidR="000618E1" w:rsidRPr="00565B94" w:rsidRDefault="000618E1" w:rsidP="000618E1">
            <w:pPr>
              <w:jc w:val="both"/>
              <w:rPr>
                <w:bCs/>
              </w:rPr>
            </w:pPr>
            <w:r w:rsidRPr="00565B94">
              <w:rPr>
                <w:bCs/>
              </w:rPr>
              <w:t>6</w:t>
            </w:r>
          </w:p>
        </w:tc>
        <w:tc>
          <w:tcPr>
            <w:tcW w:w="2127" w:type="dxa"/>
          </w:tcPr>
          <w:p w:rsidR="000618E1" w:rsidRPr="00565B94" w:rsidRDefault="000618E1" w:rsidP="000618E1">
            <w:pPr>
              <w:jc w:val="both"/>
              <w:rPr>
                <w:bCs/>
              </w:rPr>
            </w:pPr>
            <w:r w:rsidRPr="00565B94">
              <w:rPr>
                <w:bCs/>
              </w:rPr>
              <w:t>EL2O/00015879/0</w:t>
            </w:r>
          </w:p>
          <w:p w:rsidR="000618E1" w:rsidRPr="00565B94" w:rsidRDefault="000618E1" w:rsidP="000618E1">
            <w:pPr>
              <w:jc w:val="both"/>
              <w:rPr>
                <w:bCs/>
              </w:rPr>
            </w:pPr>
            <w:r w:rsidRPr="00565B94">
              <w:rPr>
                <w:bCs/>
              </w:rPr>
              <w:lastRenderedPageBreak/>
              <w:t>Sąd Rejonowy w Ostródzie</w:t>
            </w:r>
          </w:p>
        </w:tc>
        <w:tc>
          <w:tcPr>
            <w:tcW w:w="1560" w:type="dxa"/>
          </w:tcPr>
          <w:p w:rsidR="000618E1" w:rsidRPr="00565B94" w:rsidRDefault="000618E1" w:rsidP="000618E1">
            <w:pPr>
              <w:jc w:val="both"/>
              <w:rPr>
                <w:bCs/>
              </w:rPr>
            </w:pPr>
            <w:r w:rsidRPr="00565B94">
              <w:rPr>
                <w:bCs/>
              </w:rPr>
              <w:lastRenderedPageBreak/>
              <w:t>Małdyty</w:t>
            </w:r>
          </w:p>
          <w:p w:rsidR="000618E1" w:rsidRPr="00565B94" w:rsidRDefault="000618E1" w:rsidP="000618E1">
            <w:pPr>
              <w:jc w:val="both"/>
              <w:rPr>
                <w:bCs/>
              </w:rPr>
            </w:pPr>
            <w:r w:rsidRPr="00565B94">
              <w:rPr>
                <w:bCs/>
              </w:rPr>
              <w:lastRenderedPageBreak/>
              <w:t>Stare Kiełkuty</w:t>
            </w:r>
          </w:p>
        </w:tc>
        <w:tc>
          <w:tcPr>
            <w:tcW w:w="1701" w:type="dxa"/>
          </w:tcPr>
          <w:p w:rsidR="000618E1" w:rsidRPr="00565B94" w:rsidRDefault="000618E1" w:rsidP="000618E1">
            <w:pPr>
              <w:jc w:val="both"/>
              <w:rPr>
                <w:bCs/>
              </w:rPr>
            </w:pPr>
            <w:r w:rsidRPr="00565B94">
              <w:rPr>
                <w:bCs/>
              </w:rPr>
              <w:lastRenderedPageBreak/>
              <w:t>267/80</w:t>
            </w:r>
          </w:p>
        </w:tc>
        <w:tc>
          <w:tcPr>
            <w:tcW w:w="992" w:type="dxa"/>
          </w:tcPr>
          <w:p w:rsidR="000618E1" w:rsidRPr="00565B94" w:rsidRDefault="000618E1" w:rsidP="000618E1">
            <w:pPr>
              <w:jc w:val="both"/>
              <w:rPr>
                <w:bCs/>
              </w:rPr>
            </w:pPr>
            <w:r w:rsidRPr="00565B94">
              <w:rPr>
                <w:bCs/>
              </w:rPr>
              <w:t>0,0039</w:t>
            </w:r>
          </w:p>
        </w:tc>
        <w:tc>
          <w:tcPr>
            <w:tcW w:w="2381" w:type="dxa"/>
          </w:tcPr>
          <w:p w:rsidR="000618E1" w:rsidRPr="00565B94" w:rsidRDefault="000618E1" w:rsidP="003B64DE">
            <w:pPr>
              <w:rPr>
                <w:bCs/>
              </w:rPr>
            </w:pPr>
            <w:r w:rsidRPr="00565B94">
              <w:rPr>
                <w:bCs/>
              </w:rPr>
              <w:t xml:space="preserve">B; </w:t>
            </w:r>
            <w:bookmarkStart w:id="0" w:name="_GoBack"/>
            <w:bookmarkEnd w:id="0"/>
            <w:r w:rsidRPr="00565B94">
              <w:rPr>
                <w:bCs/>
              </w:rPr>
              <w:t xml:space="preserve">nieruchomość zabudowana  boksem </w:t>
            </w:r>
            <w:r w:rsidRPr="00565B94">
              <w:rPr>
                <w:bCs/>
              </w:rPr>
              <w:lastRenderedPageBreak/>
              <w:t>garażowym o pow. użytkowej 15,81 m2</w:t>
            </w:r>
          </w:p>
        </w:tc>
        <w:tc>
          <w:tcPr>
            <w:tcW w:w="2977" w:type="dxa"/>
          </w:tcPr>
          <w:p w:rsidR="000618E1" w:rsidRPr="00565B94" w:rsidRDefault="000618E1" w:rsidP="000618E1">
            <w:r w:rsidRPr="00565B94">
              <w:rPr>
                <w:bCs/>
              </w:rPr>
              <w:lastRenderedPageBreak/>
              <w:t xml:space="preserve">Teren wskazany do uzupełnień i przekształceń </w:t>
            </w:r>
            <w:r w:rsidRPr="00565B94">
              <w:rPr>
                <w:bCs/>
              </w:rPr>
              <w:lastRenderedPageBreak/>
              <w:t>w kierunku zabudowy mieszkaniowej i usługowej</w:t>
            </w:r>
          </w:p>
        </w:tc>
        <w:tc>
          <w:tcPr>
            <w:tcW w:w="1588" w:type="dxa"/>
          </w:tcPr>
          <w:p w:rsidR="000618E1" w:rsidRPr="00565B94" w:rsidRDefault="000618E1" w:rsidP="000618E1">
            <w:r w:rsidRPr="00565B94">
              <w:rPr>
                <w:bCs/>
              </w:rPr>
              <w:lastRenderedPageBreak/>
              <w:t>3000,00</w:t>
            </w:r>
          </w:p>
        </w:tc>
        <w:tc>
          <w:tcPr>
            <w:tcW w:w="2097" w:type="dxa"/>
          </w:tcPr>
          <w:p w:rsidR="000618E1" w:rsidRPr="00565B94" w:rsidRDefault="000618E1" w:rsidP="000618E1">
            <w:pPr>
              <w:jc w:val="both"/>
              <w:rPr>
                <w:bCs/>
                <w:color w:val="FF0000"/>
              </w:rPr>
            </w:pPr>
            <w:r w:rsidRPr="00565B94">
              <w:rPr>
                <w:bCs/>
              </w:rPr>
              <w:t xml:space="preserve">Na boks garażowy obowiązuje umowa </w:t>
            </w:r>
            <w:r w:rsidRPr="00565B94">
              <w:rPr>
                <w:bCs/>
              </w:rPr>
              <w:lastRenderedPageBreak/>
              <w:t>dzierżawy na czas nieokreślony nabywcy przysługuje prawo jej wypowiedzenia z 3- miesięcznym okresem wypowiedzenia</w:t>
            </w:r>
          </w:p>
        </w:tc>
      </w:tr>
    </w:tbl>
    <w:p w:rsidR="00565B94" w:rsidRDefault="00565B94" w:rsidP="000618E1">
      <w:pPr>
        <w:jc w:val="both"/>
        <w:rPr>
          <w:bCs/>
          <w:sz w:val="28"/>
          <w:szCs w:val="28"/>
        </w:rPr>
      </w:pPr>
    </w:p>
    <w:p w:rsidR="000618E1" w:rsidRPr="00565B94" w:rsidRDefault="000618E1" w:rsidP="000618E1">
      <w:pPr>
        <w:jc w:val="both"/>
        <w:rPr>
          <w:bCs/>
          <w:sz w:val="28"/>
          <w:szCs w:val="28"/>
        </w:rPr>
      </w:pPr>
      <w:r w:rsidRPr="00565B94">
        <w:rPr>
          <w:bCs/>
          <w:sz w:val="28"/>
          <w:szCs w:val="28"/>
        </w:rPr>
        <w:t>Ww. nieruchomości nie posiadają obciążeń ani zobowiązań (za wyjątkiem opisanych w ogłoszeniu), nie są wpisane do rejestru zabytków.</w:t>
      </w:r>
    </w:p>
    <w:p w:rsidR="000618E1" w:rsidRPr="00565B94" w:rsidRDefault="000618E1" w:rsidP="000618E1">
      <w:pPr>
        <w:jc w:val="both"/>
        <w:rPr>
          <w:bCs/>
          <w:sz w:val="28"/>
          <w:szCs w:val="28"/>
        </w:rPr>
      </w:pPr>
      <w:r w:rsidRPr="00565B94">
        <w:rPr>
          <w:bCs/>
          <w:sz w:val="28"/>
          <w:szCs w:val="28"/>
        </w:rPr>
        <w:t>Dodatkowych informacji dot</w:t>
      </w:r>
      <w:r w:rsidR="002C338D" w:rsidRPr="00565B94">
        <w:rPr>
          <w:bCs/>
          <w:sz w:val="28"/>
          <w:szCs w:val="28"/>
        </w:rPr>
        <w:t>yczących nieruchomości do dn.20.07.2021</w:t>
      </w:r>
      <w:r w:rsidRPr="00565B94">
        <w:rPr>
          <w:bCs/>
          <w:sz w:val="28"/>
          <w:szCs w:val="28"/>
        </w:rPr>
        <w:t xml:space="preserve">r. udziela w siedzibie Nadleśnictwa, w godz. od 10.00 do 13.00 Pani Agnieszka Fiedoruk. </w:t>
      </w:r>
    </w:p>
    <w:p w:rsidR="000618E1" w:rsidRPr="00565B94" w:rsidRDefault="000618E1" w:rsidP="000618E1">
      <w:pPr>
        <w:jc w:val="both"/>
        <w:rPr>
          <w:sz w:val="28"/>
          <w:szCs w:val="28"/>
        </w:rPr>
      </w:pPr>
      <w:r w:rsidRPr="00565B94">
        <w:rPr>
          <w:sz w:val="28"/>
          <w:szCs w:val="28"/>
        </w:rPr>
        <w:t>Przetarg odbędzie się w sali narad Nadleśnictwa Dobrocin dn.</w:t>
      </w:r>
      <w:r w:rsidR="002C338D" w:rsidRPr="00565B94">
        <w:rPr>
          <w:sz w:val="28"/>
          <w:szCs w:val="28"/>
        </w:rPr>
        <w:t xml:space="preserve"> 27.07.2021</w:t>
      </w:r>
      <w:r w:rsidRPr="00565B94">
        <w:rPr>
          <w:sz w:val="28"/>
          <w:szCs w:val="28"/>
        </w:rPr>
        <w:t>r. o godz.11.00.</w:t>
      </w:r>
    </w:p>
    <w:p w:rsidR="000618E1" w:rsidRPr="00565B94" w:rsidRDefault="000618E1" w:rsidP="000618E1">
      <w:pPr>
        <w:jc w:val="both"/>
        <w:rPr>
          <w:bCs/>
          <w:sz w:val="28"/>
          <w:szCs w:val="28"/>
        </w:rPr>
      </w:pPr>
      <w:r w:rsidRPr="00565B94">
        <w:rPr>
          <w:bCs/>
          <w:sz w:val="28"/>
          <w:szCs w:val="28"/>
        </w:rPr>
        <w:t xml:space="preserve">Uczestnikami przetargu mogą być osoby fizyczne i prawne. Warunkiem przystąpienia do przetargu jest wpłata wadium w wysokości </w:t>
      </w:r>
      <w:r w:rsidR="002C338D" w:rsidRPr="00565B94">
        <w:rPr>
          <w:bCs/>
          <w:sz w:val="28"/>
          <w:szCs w:val="28"/>
        </w:rPr>
        <w:t xml:space="preserve">200,00 </w:t>
      </w:r>
      <w:r w:rsidRPr="00565B94">
        <w:rPr>
          <w:bCs/>
          <w:sz w:val="28"/>
          <w:szCs w:val="28"/>
        </w:rPr>
        <w:t xml:space="preserve">zł na każdą nieruchomość, którą uczestnik zamierza nabyć. Wadium należy wnieść przelewem na rachunek bankowy o nr 06 1160 2202 0000 0000 6193 5196 </w:t>
      </w:r>
      <w:r w:rsidR="002C338D" w:rsidRPr="00565B94">
        <w:rPr>
          <w:bCs/>
          <w:sz w:val="28"/>
          <w:szCs w:val="28"/>
        </w:rPr>
        <w:t>do dnia 26.07.2021 r. do godz. 12</w:t>
      </w:r>
      <w:r w:rsidRPr="00565B94">
        <w:rPr>
          <w:bCs/>
          <w:sz w:val="28"/>
          <w:szCs w:val="28"/>
        </w:rPr>
        <w:t>.00 (do tej godziny środki muszą znajdować się na rachunku bankowym Nadleśnictwa pod rygorem niedopuszczenia uczestnika do przetargu) – przelew wadium musi zawierać opis, której nieruchomości dotyczy</w:t>
      </w:r>
      <w:r w:rsidR="002C338D" w:rsidRPr="00565B94">
        <w:rPr>
          <w:bCs/>
          <w:sz w:val="28"/>
          <w:szCs w:val="28"/>
        </w:rPr>
        <w:t xml:space="preserve"> oraz </w:t>
      </w:r>
      <w:r w:rsidR="002A598D" w:rsidRPr="00565B94">
        <w:rPr>
          <w:bCs/>
          <w:sz w:val="28"/>
          <w:szCs w:val="28"/>
        </w:rPr>
        <w:t>imię i nazwisko uczestnika</w:t>
      </w:r>
      <w:r w:rsidRPr="00565B94">
        <w:rPr>
          <w:bCs/>
          <w:sz w:val="28"/>
          <w:szCs w:val="28"/>
        </w:rPr>
        <w:t xml:space="preserve">. Wadium zwraca się w terminie trzech dni od dnia odwołania albo zamknięcia przetargu, z tym, że wadium wniesione w pieniądzu przez uczestnika przetargu, który wygrał przetarg, zalicza się na poczet ceny nabycia nieruchomości, przez którą rozumie się cenę nieruchomości ustaloną w wyniku przetargu, którą obowiązany jest on zapłacić. </w:t>
      </w:r>
    </w:p>
    <w:p w:rsidR="000618E1" w:rsidRPr="00565B94" w:rsidRDefault="000618E1" w:rsidP="000618E1">
      <w:pPr>
        <w:jc w:val="both"/>
        <w:rPr>
          <w:bCs/>
          <w:sz w:val="28"/>
          <w:szCs w:val="28"/>
        </w:rPr>
      </w:pPr>
      <w:r w:rsidRPr="00565B94">
        <w:rPr>
          <w:bCs/>
          <w:sz w:val="28"/>
          <w:szCs w:val="28"/>
        </w:rPr>
        <w:t>Nabywcą wyłonionym w przetargu jest jego uczestnik, który zaoferuje najwyższą cenę. Minimalne postąpienie wynosi 100,00 zł. Przetarg jest ważny bez względu na liczbę uczestników przetargu, jeżeli chociaż jeden uczestnik przetargu zaoferował co najmniej jedno postąpienie powyżej ceny wywoławczej nieruchomości.</w:t>
      </w:r>
    </w:p>
    <w:p w:rsidR="000618E1" w:rsidRPr="00565B94" w:rsidRDefault="000618E1" w:rsidP="000618E1">
      <w:pPr>
        <w:jc w:val="both"/>
        <w:rPr>
          <w:bCs/>
          <w:sz w:val="28"/>
          <w:szCs w:val="28"/>
        </w:rPr>
      </w:pPr>
      <w:r w:rsidRPr="00565B94">
        <w:rPr>
          <w:bCs/>
          <w:sz w:val="28"/>
          <w:szCs w:val="28"/>
        </w:rPr>
        <w:t xml:space="preserve">Wyłoniony w przetargu nabywca jest związany ofertą przez 30 dni od dnia odbycia przetargu, zaś umowę zobowiązany jest zawrzeć w terminie i miejscu wskazanym przez Nadleśnictwo Dobrocin nie dłuższym niż jednak termin związania ofertą. Wyłoniony w przetargu nabywca jest zobowiązany zapłacić cenę za nabytą nieruchomość przed podpisaniem umowy sprzedaży. Jeżeli osoba ustalona jako nabywca nieruchomości nie zawrze bez usprawiedliwionej przyczyny umowy sprzedaży </w:t>
      </w:r>
      <w:r w:rsidRPr="00565B94">
        <w:rPr>
          <w:bCs/>
          <w:sz w:val="28"/>
          <w:szCs w:val="28"/>
        </w:rPr>
        <w:lastRenderedPageBreak/>
        <w:t>nieruchomości w miejscu i terminie podanym w zawiadomieniu, sprzedający może odstąpić od zawarcia umowy, a wniesione wadium nie podlega zwrotowi. Koszty aktu notarialnego pokrywa Nabywca.</w:t>
      </w:r>
    </w:p>
    <w:p w:rsidR="000618E1" w:rsidRPr="00565B94" w:rsidRDefault="000618E1" w:rsidP="000618E1">
      <w:pPr>
        <w:jc w:val="both"/>
        <w:rPr>
          <w:sz w:val="28"/>
          <w:szCs w:val="28"/>
        </w:rPr>
      </w:pPr>
      <w:r w:rsidRPr="00565B94">
        <w:rPr>
          <w:sz w:val="28"/>
          <w:szCs w:val="28"/>
        </w:rPr>
        <w:t xml:space="preserve">Nadleśnictwo Dobrocin sprzedaje nieruchomości na podstawie aktualnych wypisów i wyrysów sporządzonych przez Wydział Gospodarki Nieruchomościami i Ewidencji Gruntów Starostwa Powiatowego w Ostródzie. Nabywca nie będzie mógł występować z żadnymi roszczeniami wobec Sprzedającego z tytułu ewentualnej różnicy powierzchni sprzedawanej nieruchomości, jeżeli po sprzedaży notarialnej geodeta wykaże inną powierzchnię niż jest to oznaczone w dokumencie w postaci wypisu i wyrysu. Okazanie punktów granicznych nieruchomości może nastąpić na życzenie Nabywcy wyłącznie na jego koszt. </w:t>
      </w:r>
    </w:p>
    <w:p w:rsidR="000618E1" w:rsidRPr="00565B94" w:rsidRDefault="000618E1" w:rsidP="000618E1">
      <w:pPr>
        <w:jc w:val="both"/>
        <w:rPr>
          <w:sz w:val="28"/>
          <w:szCs w:val="28"/>
        </w:rPr>
      </w:pPr>
      <w:r w:rsidRPr="00565B94">
        <w:rPr>
          <w:sz w:val="28"/>
          <w:szCs w:val="28"/>
        </w:rPr>
        <w:t>Nadleśnictwo Dobrocin zastrzega sobie prawo odwołania przetargu w całości lub części z ważnych powodów.</w:t>
      </w:r>
    </w:p>
    <w:p w:rsidR="000618E1" w:rsidRPr="00565B94" w:rsidRDefault="000618E1" w:rsidP="000618E1">
      <w:pPr>
        <w:rPr>
          <w:sz w:val="28"/>
          <w:szCs w:val="28"/>
        </w:rPr>
      </w:pPr>
    </w:p>
    <w:p w:rsidR="000618E1" w:rsidRPr="00565B94" w:rsidRDefault="000618E1" w:rsidP="000618E1">
      <w:pPr>
        <w:jc w:val="both"/>
        <w:rPr>
          <w:sz w:val="28"/>
          <w:szCs w:val="28"/>
        </w:rPr>
      </w:pPr>
      <w:r w:rsidRPr="00565B94">
        <w:rPr>
          <w:sz w:val="28"/>
          <w:szCs w:val="28"/>
        </w:rPr>
        <w:t>W sprawach nieuregulowanych powyżej zastosowanie znajduje rozporządzenie Ministra Środowiska z dnia 20 kwietnia 2007 r. w sprawie szczegółowych warunków i trybu przeprowadzania przetargu publicznego oraz sposobu i warunków przeprowadzania negocjacji cenowej w przypadku sprzedaży lasów, gruntów i innych nieruchomości znajdujących się w zarządzie Lasów Państwowych.</w:t>
      </w:r>
    </w:p>
    <w:p w:rsidR="000618E1" w:rsidRPr="00565B94" w:rsidRDefault="000618E1" w:rsidP="000618E1">
      <w:pPr>
        <w:rPr>
          <w:sz w:val="28"/>
          <w:szCs w:val="28"/>
        </w:rPr>
      </w:pPr>
    </w:p>
    <w:p w:rsidR="000618E1" w:rsidRPr="00565B94" w:rsidRDefault="002A598D" w:rsidP="000618E1">
      <w:pPr>
        <w:rPr>
          <w:sz w:val="28"/>
          <w:szCs w:val="28"/>
        </w:rPr>
      </w:pPr>
      <w:r w:rsidRPr="00565B94">
        <w:rPr>
          <w:sz w:val="28"/>
          <w:szCs w:val="28"/>
        </w:rPr>
        <w:t>Dobrocin  23.06.</w:t>
      </w:r>
      <w:r w:rsidR="000618E1" w:rsidRPr="00565B94">
        <w:rPr>
          <w:sz w:val="28"/>
          <w:szCs w:val="28"/>
        </w:rPr>
        <w:t>2021 r.</w:t>
      </w:r>
      <w:r w:rsidR="000618E1" w:rsidRPr="00565B94">
        <w:rPr>
          <w:sz w:val="28"/>
          <w:szCs w:val="28"/>
        </w:rPr>
        <w:tab/>
      </w:r>
      <w:r w:rsidR="000618E1" w:rsidRPr="00565B94">
        <w:rPr>
          <w:sz w:val="28"/>
          <w:szCs w:val="28"/>
        </w:rPr>
        <w:tab/>
      </w:r>
      <w:r w:rsidR="000618E1" w:rsidRPr="00565B94">
        <w:rPr>
          <w:sz w:val="28"/>
          <w:szCs w:val="28"/>
        </w:rPr>
        <w:tab/>
      </w:r>
      <w:r w:rsidR="000618E1" w:rsidRPr="00565B94">
        <w:rPr>
          <w:sz w:val="28"/>
          <w:szCs w:val="28"/>
        </w:rPr>
        <w:tab/>
      </w:r>
      <w:r w:rsidR="000618E1" w:rsidRPr="00565B94">
        <w:rPr>
          <w:sz w:val="28"/>
          <w:szCs w:val="28"/>
        </w:rPr>
        <w:tab/>
      </w:r>
      <w:r w:rsidR="000618E1" w:rsidRPr="00565B94">
        <w:rPr>
          <w:sz w:val="28"/>
          <w:szCs w:val="28"/>
        </w:rPr>
        <w:tab/>
      </w:r>
      <w:r w:rsidR="000618E1" w:rsidRPr="00565B94">
        <w:rPr>
          <w:sz w:val="28"/>
          <w:szCs w:val="28"/>
        </w:rPr>
        <w:tab/>
      </w:r>
    </w:p>
    <w:p w:rsidR="000618E1" w:rsidRPr="00565B94" w:rsidRDefault="000618E1" w:rsidP="000618E1">
      <w:pPr>
        <w:jc w:val="right"/>
        <w:rPr>
          <w:sz w:val="28"/>
          <w:szCs w:val="28"/>
        </w:rPr>
      </w:pPr>
      <w:r w:rsidRPr="00565B94">
        <w:rPr>
          <w:sz w:val="28"/>
          <w:szCs w:val="28"/>
        </w:rPr>
        <w:t>Nadleśniczy</w:t>
      </w:r>
    </w:p>
    <w:p w:rsidR="000618E1" w:rsidRPr="00565B94" w:rsidRDefault="000618E1" w:rsidP="000618E1">
      <w:pPr>
        <w:jc w:val="right"/>
        <w:rPr>
          <w:sz w:val="28"/>
          <w:szCs w:val="28"/>
        </w:rPr>
      </w:pPr>
      <w:r w:rsidRPr="00565B94">
        <w:rPr>
          <w:sz w:val="28"/>
          <w:szCs w:val="28"/>
        </w:rPr>
        <w:t>Szymon Nowak</w:t>
      </w:r>
    </w:p>
    <w:p w:rsidR="000618E1" w:rsidRDefault="000618E1" w:rsidP="000618E1">
      <w:pPr>
        <w:ind w:left="720"/>
        <w:rPr>
          <w:sz w:val="22"/>
          <w:szCs w:val="22"/>
        </w:rPr>
      </w:pPr>
    </w:p>
    <w:p w:rsidR="000618E1" w:rsidRDefault="000618E1" w:rsidP="000618E1">
      <w:pPr>
        <w:ind w:left="720"/>
        <w:rPr>
          <w:sz w:val="22"/>
          <w:szCs w:val="22"/>
        </w:rPr>
      </w:pPr>
    </w:p>
    <w:p w:rsidR="000618E1" w:rsidRDefault="000618E1" w:rsidP="000618E1">
      <w:pPr>
        <w:ind w:left="720"/>
        <w:rPr>
          <w:sz w:val="22"/>
          <w:szCs w:val="22"/>
        </w:rPr>
      </w:pPr>
    </w:p>
    <w:p w:rsidR="000618E1" w:rsidRDefault="000618E1" w:rsidP="000618E1">
      <w:pPr>
        <w:ind w:left="720"/>
        <w:rPr>
          <w:sz w:val="22"/>
          <w:szCs w:val="22"/>
        </w:rPr>
      </w:pPr>
    </w:p>
    <w:p w:rsidR="000618E1" w:rsidRDefault="000618E1" w:rsidP="000618E1">
      <w:pPr>
        <w:ind w:left="720"/>
        <w:rPr>
          <w:sz w:val="22"/>
          <w:szCs w:val="22"/>
        </w:rPr>
      </w:pPr>
    </w:p>
    <w:p w:rsidR="000618E1" w:rsidRDefault="000618E1" w:rsidP="000618E1">
      <w:pPr>
        <w:ind w:left="720"/>
        <w:rPr>
          <w:sz w:val="22"/>
          <w:szCs w:val="22"/>
        </w:rPr>
      </w:pPr>
    </w:p>
    <w:p w:rsidR="000618E1" w:rsidRDefault="000618E1" w:rsidP="000618E1">
      <w:pPr>
        <w:ind w:left="720"/>
      </w:pPr>
    </w:p>
    <w:p w:rsidR="002B5A56" w:rsidRDefault="002B5A56"/>
    <w:sectPr w:rsidR="002B5A56" w:rsidSect="00EB014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37"/>
    <w:rsid w:val="000618E1"/>
    <w:rsid w:val="002A598D"/>
    <w:rsid w:val="002B5A56"/>
    <w:rsid w:val="002C338D"/>
    <w:rsid w:val="003B64DE"/>
    <w:rsid w:val="00565B94"/>
    <w:rsid w:val="00970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DC66"/>
  <w15:chartTrackingRefBased/>
  <w15:docId w15:val="{07EFADDE-C5A4-4EE3-ACA2-D3598A24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18E1"/>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0618E1"/>
    <w:pPr>
      <w:keepNext/>
      <w:jc w:val="center"/>
      <w:outlineLvl w:val="2"/>
    </w:pPr>
    <w:rPr>
      <w:rFonts w:ascii="Arial" w:hAnsi="Arial"/>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618E1"/>
    <w:rPr>
      <w:rFonts w:ascii="Arial" w:eastAsia="Times New Roman" w:hAnsi="Arial" w:cs="Times New Roman"/>
      <w:sz w:val="24"/>
      <w:szCs w:val="20"/>
      <w:lang w:eastAsia="pl-PL"/>
    </w:rPr>
  </w:style>
  <w:style w:type="paragraph" w:styleId="Zwykytekst">
    <w:name w:val="Plain Text"/>
    <w:basedOn w:val="Normalny"/>
    <w:link w:val="ZwykytekstZnak"/>
    <w:semiHidden/>
    <w:rsid w:val="000618E1"/>
    <w:rPr>
      <w:rFonts w:ascii="Courier New" w:hAnsi="Courier New"/>
      <w:sz w:val="20"/>
      <w:szCs w:val="20"/>
    </w:rPr>
  </w:style>
  <w:style w:type="character" w:customStyle="1" w:styleId="ZwykytekstZnak">
    <w:name w:val="Zwykły tekst Znak"/>
    <w:basedOn w:val="Domylnaczcionkaakapitu"/>
    <w:link w:val="Zwykytekst"/>
    <w:semiHidden/>
    <w:rsid w:val="000618E1"/>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0618E1"/>
    <w:rPr>
      <w:color w:val="0000FF"/>
      <w:u w:val="single"/>
    </w:rPr>
  </w:style>
  <w:style w:type="paragraph" w:styleId="Tekstdymka">
    <w:name w:val="Balloon Text"/>
    <w:basedOn w:val="Normalny"/>
    <w:link w:val="TekstdymkaZnak"/>
    <w:uiPriority w:val="99"/>
    <w:semiHidden/>
    <w:unhideWhenUsed/>
    <w:rsid w:val="003B64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64D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brocin.olsztyn.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966</Words>
  <Characters>5798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N.Dobrocin Agnieszka Fiedoruk</dc:creator>
  <cp:keywords/>
  <dc:description/>
  <cp:lastModifiedBy>N.Dobrocin Agnieszka Fiedoruk</cp:lastModifiedBy>
  <cp:revision>4</cp:revision>
  <cp:lastPrinted>2021-06-22T11:24:00Z</cp:lastPrinted>
  <dcterms:created xsi:type="dcterms:W3CDTF">2021-06-22T11:22:00Z</dcterms:created>
  <dcterms:modified xsi:type="dcterms:W3CDTF">2021-06-22T11:24:00Z</dcterms:modified>
</cp:coreProperties>
</file>