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7ECFA152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2019r, poz. 2019 z póżn.zm) na zadanie </w:t>
      </w:r>
      <w:r w:rsidRPr="00710BDF">
        <w:rPr>
          <w:b/>
          <w:i/>
          <w:sz w:val="22"/>
          <w:szCs w:val="22"/>
        </w:rPr>
        <w:t>„</w:t>
      </w:r>
      <w:r w:rsidR="002E4D45">
        <w:rPr>
          <w:b/>
          <w:sz w:val="22"/>
          <w:szCs w:val="22"/>
        </w:rPr>
        <w:t>Budowa budynku kancelarii na potrzeby leśnictw Kniejówka, Szadek- I etap</w:t>
      </w:r>
      <w:r w:rsidRPr="00710BDF">
        <w:rPr>
          <w:b/>
          <w:sz w:val="22"/>
          <w:szCs w:val="22"/>
        </w:rPr>
        <w:t>”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777777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oświadczam, że informacje zawarte w  oświadczeniu, o którym mowa w art. 125 ust. 1  ustawy  z dnia 11 września 2019 r. Prawo zamówień publicznych (Dz. U. z 2019 r., poz. 2019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77777777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4"/>
    <w:rsid w:val="002E4D45"/>
    <w:rsid w:val="007468C9"/>
    <w:rsid w:val="00873FA5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chartTrackingRefBased/>
  <w15:docId w15:val="{7191E0FB-D2FB-4019-95C9-43B8322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5</cp:revision>
  <dcterms:created xsi:type="dcterms:W3CDTF">2021-04-27T11:35:00Z</dcterms:created>
  <dcterms:modified xsi:type="dcterms:W3CDTF">2021-04-30T06:01:00Z</dcterms:modified>
</cp:coreProperties>
</file>